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9CC4" w14:textId="33D34953" w:rsidR="00061061" w:rsidRDefault="00061061" w:rsidP="000148E1">
      <w:pPr>
        <w:spacing w:line="25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B0D3F0" w14:textId="77777777" w:rsidR="002323B5" w:rsidRDefault="002323B5" w:rsidP="000148E1">
      <w:pPr>
        <w:spacing w:line="25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262AB58" w14:textId="698560E8" w:rsidR="000148E1" w:rsidRPr="000148E1" w:rsidRDefault="000148E1" w:rsidP="000148E1">
      <w:pPr>
        <w:spacing w:line="25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8E1">
        <w:rPr>
          <w:rFonts w:ascii="Times New Roman" w:hAnsi="Times New Roman" w:cs="Times New Roman"/>
          <w:b/>
          <w:sz w:val="28"/>
          <w:szCs w:val="24"/>
        </w:rPr>
        <w:t>Virginia Board of Long-Term Care Administrators</w:t>
      </w:r>
    </w:p>
    <w:p w14:paraId="1E5413AE" w14:textId="77777777" w:rsidR="000148E1" w:rsidRPr="000148E1" w:rsidRDefault="000148E1" w:rsidP="000148E1">
      <w:pPr>
        <w:spacing w:line="25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A83C359" w14:textId="4CB235A8" w:rsidR="000148E1" w:rsidRPr="000148E1" w:rsidRDefault="000148E1" w:rsidP="000148E1">
      <w:pPr>
        <w:spacing w:line="25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8E1">
        <w:rPr>
          <w:rFonts w:ascii="Times New Roman" w:hAnsi="Times New Roman" w:cs="Times New Roman"/>
          <w:b/>
          <w:sz w:val="28"/>
          <w:szCs w:val="24"/>
        </w:rPr>
        <w:t xml:space="preserve">Guidance on </w:t>
      </w:r>
      <w:r w:rsidR="002323B5">
        <w:rPr>
          <w:rFonts w:ascii="Times New Roman" w:hAnsi="Times New Roman" w:cs="Times New Roman"/>
          <w:b/>
          <w:sz w:val="28"/>
          <w:szCs w:val="24"/>
        </w:rPr>
        <w:t xml:space="preserve">Completion of </w:t>
      </w:r>
      <w:r w:rsidRPr="000148E1">
        <w:rPr>
          <w:rFonts w:ascii="Times New Roman" w:hAnsi="Times New Roman" w:cs="Times New Roman"/>
          <w:b/>
          <w:sz w:val="28"/>
          <w:szCs w:val="24"/>
        </w:rPr>
        <w:t>Continuing Education</w:t>
      </w:r>
    </w:p>
    <w:p w14:paraId="4BE9DC3D" w14:textId="07601849" w:rsidR="000148E1" w:rsidRDefault="000148E1" w:rsidP="000148E1">
      <w:pPr>
        <w:spacing w:line="25" w:lineRule="atLeast"/>
        <w:rPr>
          <w:rFonts w:ascii="Times New Roman" w:hAnsi="Times New Roman" w:cs="Times New Roman"/>
          <w:b/>
          <w:sz w:val="28"/>
          <w:szCs w:val="24"/>
        </w:rPr>
      </w:pPr>
    </w:p>
    <w:p w14:paraId="0C905721" w14:textId="4DF79F7D" w:rsidR="000E00F5" w:rsidRPr="00522585" w:rsidRDefault="00522585" w:rsidP="00522585">
      <w:pPr>
        <w:spacing w:line="25" w:lineRule="atLeas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22585">
        <w:rPr>
          <w:rFonts w:ascii="Times New Roman" w:hAnsi="Times New Roman" w:cs="Times New Roman"/>
          <w:b/>
          <w:sz w:val="24"/>
          <w:szCs w:val="24"/>
          <w:u w:val="single"/>
        </w:rPr>
        <w:t>1.  Mode of Completing Courses</w:t>
      </w:r>
    </w:p>
    <w:p w14:paraId="65782832" w14:textId="77777777" w:rsidR="000E00F5" w:rsidRPr="000148E1" w:rsidRDefault="000E00F5" w:rsidP="000148E1">
      <w:pPr>
        <w:spacing w:line="25" w:lineRule="atLeast"/>
        <w:rPr>
          <w:rFonts w:ascii="Times New Roman" w:hAnsi="Times New Roman" w:cs="Times New Roman"/>
          <w:b/>
          <w:sz w:val="28"/>
          <w:szCs w:val="24"/>
        </w:rPr>
      </w:pPr>
    </w:p>
    <w:p w14:paraId="65B2DEC2" w14:textId="77777777" w:rsidR="00AC344E" w:rsidRPr="000148E1" w:rsidRDefault="000148E1" w:rsidP="000148E1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  <w:r w:rsidRPr="000148E1">
        <w:rPr>
          <w:rFonts w:ascii="Times New Roman" w:hAnsi="Times New Roman" w:cs="Times New Roman"/>
          <w:sz w:val="24"/>
          <w:szCs w:val="24"/>
        </w:rPr>
        <w:t>The Regulations of the Board of Long-Term Care Administrators for Nursing Home Administrators (Ch. 20) and Assisted Living Facility Administrators (Ch. 30) provide the following with regard to the mode of completing continuing education requirements:</w:t>
      </w:r>
    </w:p>
    <w:p w14:paraId="4695A848" w14:textId="77777777" w:rsidR="00DB5177" w:rsidRDefault="00DB5177" w:rsidP="00DB5177">
      <w:pPr>
        <w:spacing w:line="25" w:lineRule="atLeast"/>
        <w:outlineLvl w:val="1"/>
        <w:rPr>
          <w:rFonts w:ascii="Times New Roman" w:eastAsia="Times New Roman" w:hAnsi="Times New Roman" w:cs="Times New Roman"/>
          <w:b/>
          <w:i/>
        </w:rPr>
      </w:pPr>
    </w:p>
    <w:p w14:paraId="3ECE3B46" w14:textId="14EF978D" w:rsidR="000148E1" w:rsidRPr="00300BB2" w:rsidRDefault="000148E1" w:rsidP="00DB5177">
      <w:pPr>
        <w:spacing w:line="25" w:lineRule="atLeast"/>
        <w:outlineLvl w:val="1"/>
        <w:rPr>
          <w:rFonts w:ascii="Times New Roman" w:eastAsia="Times New Roman" w:hAnsi="Times New Roman" w:cs="Times New Roman"/>
          <w:b/>
          <w:i/>
        </w:rPr>
      </w:pPr>
      <w:r w:rsidRPr="00300BB2">
        <w:rPr>
          <w:rFonts w:ascii="Times New Roman" w:eastAsia="Times New Roman" w:hAnsi="Times New Roman" w:cs="Times New Roman"/>
          <w:b/>
          <w:i/>
        </w:rPr>
        <w:t xml:space="preserve">18VAC95-20-175. Continuing Education Requirements.  </w:t>
      </w:r>
    </w:p>
    <w:p w14:paraId="08C4CF30" w14:textId="77777777" w:rsidR="000148E1" w:rsidRPr="00300BB2" w:rsidRDefault="000148E1" w:rsidP="00DB5177">
      <w:pPr>
        <w:spacing w:before="100" w:beforeAutospacing="1" w:after="100" w:afterAutospacing="1" w:line="25" w:lineRule="atLeast"/>
        <w:rPr>
          <w:rFonts w:ascii="Times New Roman" w:eastAsia="Times New Roman" w:hAnsi="Times New Roman" w:cs="Times New Roman"/>
          <w:i/>
        </w:rPr>
      </w:pPr>
      <w:r w:rsidRPr="00300BB2">
        <w:rPr>
          <w:rFonts w:ascii="Times New Roman" w:eastAsia="Times New Roman" w:hAnsi="Times New Roman" w:cs="Times New Roman"/>
          <w:i/>
        </w:rPr>
        <w:t>A. In order to renew a nursing home administrator license, an applicant shall attest on his renewal application to completion of 20 hours of approved continuing education for each renewal year.</w:t>
      </w:r>
    </w:p>
    <w:p w14:paraId="014D275A" w14:textId="1303ABDC" w:rsidR="000148E1" w:rsidRPr="00300BB2" w:rsidRDefault="000148E1" w:rsidP="00DB5177">
      <w:pPr>
        <w:spacing w:before="100" w:beforeAutospacing="1" w:after="100" w:afterAutospacing="1" w:line="25" w:lineRule="atLeast"/>
        <w:ind w:left="240"/>
        <w:rPr>
          <w:rFonts w:ascii="Times New Roman" w:eastAsia="Times New Roman" w:hAnsi="Times New Roman" w:cs="Times New Roman"/>
          <w:i/>
        </w:rPr>
      </w:pPr>
      <w:r w:rsidRPr="00300BB2">
        <w:rPr>
          <w:rFonts w:ascii="Times New Roman" w:eastAsia="Times New Roman" w:hAnsi="Times New Roman" w:cs="Times New Roman"/>
          <w:i/>
        </w:rPr>
        <w:t>1. Up to 10 of the 20 hours may be obtained through Internet or self-study courses and up to 10 continuing education hours in excess of the number required may be transferred or credited to the next renewal year.</w:t>
      </w:r>
      <w:r w:rsidR="00A75A72" w:rsidRPr="00300BB2">
        <w:rPr>
          <w:rFonts w:ascii="Times New Roman" w:eastAsia="Times New Roman" w:hAnsi="Times New Roman" w:cs="Times New Roman"/>
          <w:i/>
        </w:rPr>
        <w:t xml:space="preserve"> …</w:t>
      </w:r>
    </w:p>
    <w:p w14:paraId="6C434B13" w14:textId="77777777" w:rsidR="000148E1" w:rsidRPr="00300BB2" w:rsidRDefault="000148E1" w:rsidP="00DB5177">
      <w:pPr>
        <w:pStyle w:val="Heading2"/>
        <w:spacing w:line="25" w:lineRule="atLeast"/>
        <w:rPr>
          <w:rFonts w:ascii="Times New Roman" w:hAnsi="Times New Roman" w:cs="Times New Roman"/>
          <w:b/>
          <w:i/>
          <w:sz w:val="22"/>
          <w:szCs w:val="22"/>
        </w:rPr>
      </w:pPr>
      <w:r w:rsidRPr="00300BB2">
        <w:rPr>
          <w:rFonts w:ascii="Times New Roman" w:hAnsi="Times New Roman" w:cs="Times New Roman"/>
          <w:b/>
          <w:i/>
          <w:sz w:val="22"/>
          <w:szCs w:val="22"/>
        </w:rPr>
        <w:t xml:space="preserve">18VAC95-30-70. Continuing Education Requirements.  </w:t>
      </w:r>
    </w:p>
    <w:p w14:paraId="3BDAB598" w14:textId="77777777" w:rsidR="000148E1" w:rsidRPr="00300BB2" w:rsidRDefault="000148E1" w:rsidP="00DB5177">
      <w:pPr>
        <w:pStyle w:val="sectind"/>
        <w:spacing w:before="100" w:beforeAutospacing="1" w:after="100" w:afterAutospacing="1" w:line="25" w:lineRule="atLeast"/>
        <w:rPr>
          <w:i/>
          <w:sz w:val="22"/>
          <w:szCs w:val="22"/>
        </w:rPr>
      </w:pPr>
      <w:r w:rsidRPr="00300BB2">
        <w:rPr>
          <w:i/>
          <w:sz w:val="22"/>
          <w:szCs w:val="22"/>
        </w:rPr>
        <w:t xml:space="preserve">A. In order to renew an assisted living administrator license, an applicant shall attest on his renewal application to completion of 20 hours of approved continuing education for each renewal year. </w:t>
      </w:r>
    </w:p>
    <w:p w14:paraId="507549EE" w14:textId="4AEA8190" w:rsidR="000148E1" w:rsidRPr="00300BB2" w:rsidRDefault="000148E1" w:rsidP="00DB5177">
      <w:pPr>
        <w:pStyle w:val="sectbi"/>
        <w:spacing w:before="100" w:beforeAutospacing="1" w:after="100" w:afterAutospacing="1" w:line="25" w:lineRule="atLeast"/>
        <w:rPr>
          <w:i/>
          <w:sz w:val="22"/>
          <w:szCs w:val="22"/>
        </w:rPr>
      </w:pPr>
      <w:r w:rsidRPr="00300BB2">
        <w:rPr>
          <w:i/>
          <w:sz w:val="22"/>
          <w:szCs w:val="22"/>
        </w:rPr>
        <w:t xml:space="preserve">1. Up to 10 of the 20 hours may be obtained through Internet or self-study courses and up to 10 continuing education hours in excess of the number required may be transferred or credited to the next renewal year. </w:t>
      </w:r>
      <w:r w:rsidR="00A75A72" w:rsidRPr="00300BB2">
        <w:rPr>
          <w:i/>
          <w:sz w:val="22"/>
          <w:szCs w:val="22"/>
        </w:rPr>
        <w:t>…</w:t>
      </w:r>
    </w:p>
    <w:p w14:paraId="452DE9E0" w14:textId="457FFCBB" w:rsidR="00A75A72" w:rsidRDefault="00DB5177" w:rsidP="00AC344E">
      <w:pPr>
        <w:spacing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A75A72" w:rsidRPr="00A75A72">
        <w:rPr>
          <w:rFonts w:ascii="Times New Roman" w:hAnsi="Times New Roman" w:cs="Times New Roman"/>
          <w:sz w:val="24"/>
        </w:rPr>
        <w:t>he Board interprets these provisions to mean that</w:t>
      </w:r>
      <w:r>
        <w:rPr>
          <w:rFonts w:ascii="Times New Roman" w:hAnsi="Times New Roman" w:cs="Times New Roman"/>
          <w:sz w:val="24"/>
        </w:rPr>
        <w:t xml:space="preserve">, </w:t>
      </w:r>
      <w:r w:rsidRPr="00A75A72">
        <w:rPr>
          <w:rFonts w:ascii="Times New Roman" w:hAnsi="Times New Roman" w:cs="Times New Roman"/>
          <w:sz w:val="24"/>
        </w:rPr>
        <w:t>in addition to the hours that may be obtained “through Internet or self-study courses</w:t>
      </w:r>
      <w:r>
        <w:rPr>
          <w:rFonts w:ascii="Times New Roman" w:hAnsi="Times New Roman" w:cs="Times New Roman"/>
          <w:sz w:val="24"/>
        </w:rPr>
        <w:t>,</w:t>
      </w:r>
      <w:r w:rsidRPr="00A75A72">
        <w:rPr>
          <w:rFonts w:ascii="Times New Roman" w:hAnsi="Times New Roman" w:cs="Times New Roman"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>at least 1</w:t>
      </w:r>
      <w:bookmarkStart w:id="0" w:name="_GoBack"/>
      <w:bookmarkEnd w:id="0"/>
      <w:r w:rsidR="00A75A72" w:rsidRPr="00A75A72">
        <w:rPr>
          <w:rFonts w:ascii="Times New Roman" w:hAnsi="Times New Roman" w:cs="Times New Roman"/>
          <w:sz w:val="24"/>
        </w:rPr>
        <w:t>0 hours of continuing education</w:t>
      </w:r>
      <w:r>
        <w:rPr>
          <w:rFonts w:ascii="Times New Roman" w:hAnsi="Times New Roman" w:cs="Times New Roman"/>
          <w:sz w:val="24"/>
        </w:rPr>
        <w:t xml:space="preserve"> </w:t>
      </w:r>
      <w:r w:rsidR="00A75A72" w:rsidRPr="00A75A72">
        <w:rPr>
          <w:rFonts w:ascii="Times New Roman" w:hAnsi="Times New Roman" w:cs="Times New Roman"/>
          <w:sz w:val="24"/>
        </w:rPr>
        <w:t xml:space="preserve">are required to be live coursework hours.  These live coursework hours may be satisfied by </w:t>
      </w:r>
      <w:r w:rsidR="00B62696">
        <w:rPr>
          <w:rFonts w:ascii="Times New Roman" w:hAnsi="Times New Roman" w:cs="Times New Roman"/>
          <w:sz w:val="24"/>
        </w:rPr>
        <w:t xml:space="preserve">attendance of </w:t>
      </w:r>
      <w:r w:rsidR="00A75A72" w:rsidRPr="00A75A72">
        <w:rPr>
          <w:rFonts w:ascii="Times New Roman" w:hAnsi="Times New Roman" w:cs="Times New Roman"/>
          <w:sz w:val="24"/>
        </w:rPr>
        <w:t xml:space="preserve">(1) </w:t>
      </w:r>
      <w:r w:rsidR="003D26D3">
        <w:rPr>
          <w:rFonts w:ascii="Times New Roman" w:hAnsi="Times New Roman" w:cs="Times New Roman"/>
          <w:sz w:val="24"/>
        </w:rPr>
        <w:t xml:space="preserve">in-person programs or courses </w:t>
      </w:r>
      <w:r w:rsidR="00A75A72" w:rsidRPr="00A75A72">
        <w:rPr>
          <w:rFonts w:ascii="Times New Roman" w:hAnsi="Times New Roman" w:cs="Times New Roman"/>
          <w:sz w:val="24"/>
        </w:rPr>
        <w:t xml:space="preserve">or (2) </w:t>
      </w:r>
      <w:r w:rsidR="000E00F5">
        <w:rPr>
          <w:rFonts w:ascii="Times New Roman" w:hAnsi="Times New Roman" w:cs="Times New Roman"/>
          <w:sz w:val="24"/>
        </w:rPr>
        <w:t xml:space="preserve">real-time, interactive </w:t>
      </w:r>
      <w:r w:rsidR="00A75A72" w:rsidRPr="00A75A72">
        <w:rPr>
          <w:rFonts w:ascii="Times New Roman" w:hAnsi="Times New Roman" w:cs="Times New Roman"/>
          <w:sz w:val="24"/>
        </w:rPr>
        <w:t>programs delivered via teleconference or webcast where there is an opportunity to intera</w:t>
      </w:r>
      <w:r w:rsidR="000E00F5">
        <w:rPr>
          <w:rFonts w:ascii="Times New Roman" w:hAnsi="Times New Roman" w:cs="Times New Roman"/>
          <w:sz w:val="24"/>
        </w:rPr>
        <w:t>ct with the speaker</w:t>
      </w:r>
      <w:r w:rsidR="00A75A72" w:rsidRPr="00A75A72">
        <w:rPr>
          <w:rFonts w:ascii="Times New Roman" w:hAnsi="Times New Roman" w:cs="Times New Roman"/>
          <w:sz w:val="24"/>
        </w:rPr>
        <w:t xml:space="preserve">.  </w:t>
      </w:r>
    </w:p>
    <w:p w14:paraId="3AEAAD9E" w14:textId="548B6921" w:rsidR="003D26D3" w:rsidRDefault="003D26D3" w:rsidP="00AC344E">
      <w:pPr>
        <w:spacing w:line="25" w:lineRule="atLeast"/>
        <w:rPr>
          <w:rFonts w:ascii="Times New Roman" w:hAnsi="Times New Roman" w:cs="Times New Roman"/>
          <w:sz w:val="24"/>
        </w:rPr>
      </w:pPr>
    </w:p>
    <w:p w14:paraId="034CEF42" w14:textId="71E09C92" w:rsidR="000E00F5" w:rsidRPr="00040F13" w:rsidRDefault="00522585" w:rsidP="00522585">
      <w:pPr>
        <w:spacing w:line="25" w:lineRule="atLeast"/>
        <w:rPr>
          <w:rFonts w:ascii="Times New Roman" w:hAnsi="Times New Roman" w:cs="Times New Roman"/>
          <w:b/>
          <w:sz w:val="24"/>
          <w:u w:val="single"/>
        </w:rPr>
      </w:pPr>
      <w:r w:rsidRPr="00040F13">
        <w:rPr>
          <w:rFonts w:ascii="Times New Roman" w:hAnsi="Times New Roman" w:cs="Times New Roman"/>
          <w:b/>
          <w:sz w:val="24"/>
          <w:u w:val="single"/>
        </w:rPr>
        <w:t xml:space="preserve">2.  </w:t>
      </w:r>
      <w:r w:rsidR="000E00F5" w:rsidRPr="00040F13">
        <w:rPr>
          <w:rFonts w:ascii="Times New Roman" w:hAnsi="Times New Roman" w:cs="Times New Roman"/>
          <w:b/>
          <w:sz w:val="24"/>
          <w:u w:val="single"/>
        </w:rPr>
        <w:t>Signature from an authorized representative of the approved sponsor</w:t>
      </w:r>
    </w:p>
    <w:p w14:paraId="016F77A1" w14:textId="2C4D127D" w:rsidR="000E00F5" w:rsidRPr="00040F13" w:rsidRDefault="000E00F5" w:rsidP="00AC344E">
      <w:pPr>
        <w:spacing w:line="25" w:lineRule="atLeast"/>
        <w:rPr>
          <w:rFonts w:ascii="Times New Roman" w:hAnsi="Times New Roman" w:cs="Times New Roman"/>
          <w:sz w:val="24"/>
        </w:rPr>
      </w:pPr>
    </w:p>
    <w:p w14:paraId="71FA5DDE" w14:textId="35D593AA" w:rsidR="00522585" w:rsidRPr="00040F13" w:rsidRDefault="00522585" w:rsidP="00522585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  <w:r w:rsidRPr="00040F13">
        <w:rPr>
          <w:rFonts w:ascii="Times New Roman" w:hAnsi="Times New Roman" w:cs="Times New Roman"/>
          <w:sz w:val="24"/>
          <w:szCs w:val="24"/>
        </w:rPr>
        <w:t>The Regulations of the Board of Long-Term Care Administrators for Nursing Home Administrators (Ch. 20) and Assisted Living Facility Administrators (Ch. 30) provide the</w:t>
      </w:r>
      <w:r w:rsidR="00246100" w:rsidRPr="00040F13"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040F13">
        <w:rPr>
          <w:rFonts w:ascii="Times New Roman" w:hAnsi="Times New Roman" w:cs="Times New Roman"/>
          <w:sz w:val="24"/>
          <w:szCs w:val="24"/>
        </w:rPr>
        <w:t>:</w:t>
      </w:r>
    </w:p>
    <w:p w14:paraId="125D53D4" w14:textId="77777777" w:rsidR="00246100" w:rsidRPr="00040F13" w:rsidRDefault="00246100" w:rsidP="00522585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</w:p>
    <w:p w14:paraId="2B9C2C2A" w14:textId="21911E0E" w:rsidR="00522585" w:rsidRPr="00300BB2" w:rsidRDefault="00522585" w:rsidP="00246100">
      <w:pPr>
        <w:spacing w:line="25" w:lineRule="atLeast"/>
        <w:outlineLvl w:val="1"/>
        <w:rPr>
          <w:rFonts w:ascii="Times New Roman" w:eastAsia="Times New Roman" w:hAnsi="Times New Roman" w:cs="Times New Roman"/>
          <w:b/>
          <w:i/>
        </w:rPr>
      </w:pPr>
      <w:r w:rsidRPr="00300BB2">
        <w:rPr>
          <w:rFonts w:ascii="Times New Roman" w:eastAsia="Times New Roman" w:hAnsi="Times New Roman" w:cs="Times New Roman"/>
          <w:b/>
          <w:i/>
        </w:rPr>
        <w:t xml:space="preserve">18VAC95-20-175. Continuing Education Requirements.  </w:t>
      </w:r>
    </w:p>
    <w:p w14:paraId="573ACF7C" w14:textId="77777777" w:rsidR="00246100" w:rsidRPr="00300BB2" w:rsidRDefault="00246100" w:rsidP="00246100">
      <w:pPr>
        <w:spacing w:line="25" w:lineRule="atLeast"/>
        <w:outlineLvl w:val="1"/>
        <w:rPr>
          <w:rFonts w:ascii="Times New Roman" w:eastAsia="Times New Roman" w:hAnsi="Times New Roman" w:cs="Times New Roman"/>
          <w:b/>
          <w:i/>
        </w:rPr>
      </w:pPr>
    </w:p>
    <w:p w14:paraId="52961717" w14:textId="6EF8414F" w:rsidR="00246100" w:rsidRPr="00300BB2" w:rsidRDefault="00246100" w:rsidP="00DB5177">
      <w:pPr>
        <w:spacing w:before="100" w:beforeAutospacing="1" w:after="100" w:afterAutospacing="1" w:line="240" w:lineRule="atLeast"/>
        <w:ind w:left="245"/>
        <w:rPr>
          <w:rFonts w:ascii="Times New Roman" w:hAnsi="Times New Roman" w:cs="Times New Roman"/>
          <w:i/>
        </w:rPr>
      </w:pPr>
      <w:r w:rsidRPr="00300BB2">
        <w:rPr>
          <w:rFonts w:ascii="Times New Roman" w:hAnsi="Times New Roman" w:cs="Times New Roman"/>
          <w:i/>
        </w:rPr>
        <w:t>B. In order for continuing education to be approved by the board, it shall (</w:t>
      </w:r>
      <w:proofErr w:type="spellStart"/>
      <w:r w:rsidRPr="00300BB2">
        <w:rPr>
          <w:rFonts w:ascii="Times New Roman" w:hAnsi="Times New Roman" w:cs="Times New Roman"/>
          <w:i/>
        </w:rPr>
        <w:t>i</w:t>
      </w:r>
      <w:proofErr w:type="spellEnd"/>
      <w:r w:rsidRPr="00300BB2">
        <w:rPr>
          <w:rFonts w:ascii="Times New Roman" w:hAnsi="Times New Roman" w:cs="Times New Roman"/>
          <w:i/>
        </w:rPr>
        <w:t>) be related to health care administration and shall be approved or offered by NAB, an accredited institution, or a government agency or (ii) as provided in subdivision A 2 of this section.</w:t>
      </w:r>
    </w:p>
    <w:p w14:paraId="4FA49CBF" w14:textId="3024EBEE" w:rsidR="00522585" w:rsidRPr="00300BB2" w:rsidRDefault="00522585" w:rsidP="00DB5177">
      <w:pPr>
        <w:spacing w:before="100" w:beforeAutospacing="1" w:after="100" w:afterAutospacing="1" w:line="240" w:lineRule="atLeast"/>
        <w:ind w:left="240"/>
        <w:rPr>
          <w:rFonts w:ascii="Times New Roman" w:eastAsia="Times New Roman" w:hAnsi="Times New Roman" w:cs="Times New Roman"/>
          <w:i/>
        </w:rPr>
      </w:pPr>
      <w:r w:rsidRPr="00300BB2">
        <w:rPr>
          <w:rFonts w:ascii="Times New Roman" w:hAnsi="Times New Roman" w:cs="Times New Roman"/>
          <w:i/>
        </w:rPr>
        <w:t>C. Documentation of continuing education.</w:t>
      </w:r>
    </w:p>
    <w:p w14:paraId="4A3749EF" w14:textId="584A07B5" w:rsidR="00522585" w:rsidRPr="00300BB2" w:rsidRDefault="00246100" w:rsidP="00DB5177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i/>
        </w:rPr>
      </w:pPr>
      <w:r w:rsidRPr="00300BB2">
        <w:rPr>
          <w:rFonts w:ascii="Times New Roman" w:eastAsia="Times New Roman" w:hAnsi="Times New Roman" w:cs="Times New Roman"/>
          <w:i/>
        </w:rPr>
        <w:t xml:space="preserve">… </w:t>
      </w:r>
      <w:r w:rsidR="00522585" w:rsidRPr="00300BB2">
        <w:rPr>
          <w:rFonts w:ascii="Times New Roman" w:eastAsia="Times New Roman" w:hAnsi="Times New Roman" w:cs="Times New Roman"/>
          <w:i/>
        </w:rPr>
        <w:t>2. Evidence of attendance shall be an original document provided by the approved sponsor and shall include:</w:t>
      </w:r>
    </w:p>
    <w:p w14:paraId="461C3FC6" w14:textId="77777777" w:rsidR="00522585" w:rsidRPr="00300BB2" w:rsidRDefault="00522585" w:rsidP="00DB5177">
      <w:pPr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i/>
        </w:rPr>
      </w:pPr>
      <w:r w:rsidRPr="00300BB2">
        <w:rPr>
          <w:rFonts w:ascii="Times New Roman" w:eastAsia="Times New Roman" w:hAnsi="Times New Roman" w:cs="Times New Roman"/>
          <w:i/>
        </w:rPr>
        <w:lastRenderedPageBreak/>
        <w:t>a. Date the course was taken;</w:t>
      </w:r>
    </w:p>
    <w:p w14:paraId="44C762A0" w14:textId="77777777" w:rsidR="00522585" w:rsidRPr="00300BB2" w:rsidRDefault="00522585" w:rsidP="00DB5177">
      <w:pPr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i/>
        </w:rPr>
      </w:pPr>
      <w:proofErr w:type="gramStart"/>
      <w:r w:rsidRPr="00300BB2">
        <w:rPr>
          <w:rFonts w:ascii="Times New Roman" w:eastAsia="Times New Roman" w:hAnsi="Times New Roman" w:cs="Times New Roman"/>
          <w:i/>
        </w:rPr>
        <w:t>b</w:t>
      </w:r>
      <w:proofErr w:type="gramEnd"/>
      <w:r w:rsidRPr="00300BB2">
        <w:rPr>
          <w:rFonts w:ascii="Times New Roman" w:eastAsia="Times New Roman" w:hAnsi="Times New Roman" w:cs="Times New Roman"/>
          <w:i/>
        </w:rPr>
        <w:t>. Hours of attendance or participation;</w:t>
      </w:r>
    </w:p>
    <w:p w14:paraId="301F69D8" w14:textId="77777777" w:rsidR="00522585" w:rsidRPr="00300BB2" w:rsidRDefault="00522585" w:rsidP="00DB5177">
      <w:pPr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i/>
        </w:rPr>
      </w:pPr>
      <w:r w:rsidRPr="00300BB2">
        <w:rPr>
          <w:rFonts w:ascii="Times New Roman" w:eastAsia="Times New Roman" w:hAnsi="Times New Roman" w:cs="Times New Roman"/>
          <w:i/>
        </w:rPr>
        <w:t>c. Participant's name; and</w:t>
      </w:r>
    </w:p>
    <w:p w14:paraId="402C5584" w14:textId="0599D8C8" w:rsidR="00522585" w:rsidRPr="00300BB2" w:rsidRDefault="00522585" w:rsidP="00DB5177">
      <w:pPr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i/>
        </w:rPr>
      </w:pPr>
      <w:r w:rsidRPr="00300BB2">
        <w:rPr>
          <w:rFonts w:ascii="Times New Roman" w:eastAsia="Times New Roman" w:hAnsi="Times New Roman" w:cs="Times New Roman"/>
          <w:i/>
        </w:rPr>
        <w:t>d. Signature of an authorized representative of the approved sponsor.</w:t>
      </w:r>
    </w:p>
    <w:p w14:paraId="77C587D7" w14:textId="7006ED69" w:rsidR="00522585" w:rsidRPr="00300BB2" w:rsidRDefault="00522585" w:rsidP="00DB5177">
      <w:pPr>
        <w:pStyle w:val="Heading2"/>
        <w:spacing w:line="240" w:lineRule="atLeast"/>
        <w:rPr>
          <w:rFonts w:ascii="Times New Roman" w:hAnsi="Times New Roman" w:cs="Times New Roman"/>
          <w:b/>
          <w:i/>
          <w:sz w:val="22"/>
          <w:szCs w:val="22"/>
        </w:rPr>
      </w:pPr>
      <w:r w:rsidRPr="00300BB2">
        <w:rPr>
          <w:rFonts w:ascii="Times New Roman" w:hAnsi="Times New Roman" w:cs="Times New Roman"/>
          <w:b/>
          <w:i/>
          <w:sz w:val="22"/>
          <w:szCs w:val="22"/>
        </w:rPr>
        <w:t xml:space="preserve">18VAC95-30-70. Continuing Education Requirements.  </w:t>
      </w:r>
    </w:p>
    <w:p w14:paraId="4437BD5C" w14:textId="77777777" w:rsidR="00246100" w:rsidRPr="00300BB2" w:rsidRDefault="00246100" w:rsidP="00DB5177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i/>
        </w:rPr>
      </w:pPr>
      <w:r w:rsidRPr="00300BB2">
        <w:rPr>
          <w:rFonts w:ascii="Times New Roman" w:eastAsia="Times New Roman" w:hAnsi="Times New Roman" w:cs="Times New Roman"/>
          <w:i/>
        </w:rPr>
        <w:t>B. In order for continuing education to be approved by the board, it shall (</w:t>
      </w:r>
      <w:proofErr w:type="spellStart"/>
      <w:r w:rsidRPr="00300BB2">
        <w:rPr>
          <w:rFonts w:ascii="Times New Roman" w:eastAsia="Times New Roman" w:hAnsi="Times New Roman" w:cs="Times New Roman"/>
          <w:i/>
        </w:rPr>
        <w:t>i</w:t>
      </w:r>
      <w:proofErr w:type="spellEnd"/>
      <w:r w:rsidRPr="00300BB2">
        <w:rPr>
          <w:rFonts w:ascii="Times New Roman" w:eastAsia="Times New Roman" w:hAnsi="Times New Roman" w:cs="Times New Roman"/>
          <w:i/>
        </w:rPr>
        <w:t xml:space="preserve">) be related to the Domains of Practice for residential care/assisted living and approved or offered by NAB, an accredited educational institution, or a governmental agency or (ii) be as provided in subdivision A 2 of this section. </w:t>
      </w:r>
    </w:p>
    <w:p w14:paraId="29684213" w14:textId="77777777" w:rsidR="00246100" w:rsidRPr="00300BB2" w:rsidRDefault="00246100" w:rsidP="00DB5177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i/>
        </w:rPr>
      </w:pPr>
      <w:r w:rsidRPr="00300BB2">
        <w:rPr>
          <w:rFonts w:ascii="Times New Roman" w:eastAsia="Times New Roman" w:hAnsi="Times New Roman" w:cs="Times New Roman"/>
          <w:i/>
        </w:rPr>
        <w:t xml:space="preserve">C. Documentation of continuing education. </w:t>
      </w:r>
    </w:p>
    <w:p w14:paraId="789AA359" w14:textId="0599BE8B" w:rsidR="00246100" w:rsidRPr="00300BB2" w:rsidRDefault="00246100" w:rsidP="00DB5177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i/>
        </w:rPr>
      </w:pPr>
      <w:r w:rsidRPr="00300BB2">
        <w:rPr>
          <w:rFonts w:ascii="Times New Roman" w:eastAsia="Times New Roman" w:hAnsi="Times New Roman" w:cs="Times New Roman"/>
          <w:i/>
        </w:rPr>
        <w:t xml:space="preserve">… 2. Evidence of attendance shall be an original document provided by the approved sponsor and shall include: </w:t>
      </w:r>
    </w:p>
    <w:p w14:paraId="5F797555" w14:textId="77777777" w:rsidR="00246100" w:rsidRPr="00300BB2" w:rsidRDefault="00246100" w:rsidP="00DB5177">
      <w:pPr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i/>
        </w:rPr>
      </w:pPr>
      <w:r w:rsidRPr="00300BB2">
        <w:rPr>
          <w:rFonts w:ascii="Times New Roman" w:eastAsia="Times New Roman" w:hAnsi="Times New Roman" w:cs="Times New Roman"/>
          <w:i/>
        </w:rPr>
        <w:t xml:space="preserve">a. Date the course was taken; </w:t>
      </w:r>
    </w:p>
    <w:p w14:paraId="51971C36" w14:textId="77777777" w:rsidR="00246100" w:rsidRPr="00300BB2" w:rsidRDefault="00246100" w:rsidP="00DB5177">
      <w:pPr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i/>
        </w:rPr>
      </w:pPr>
      <w:proofErr w:type="gramStart"/>
      <w:r w:rsidRPr="00300BB2">
        <w:rPr>
          <w:rFonts w:ascii="Times New Roman" w:eastAsia="Times New Roman" w:hAnsi="Times New Roman" w:cs="Times New Roman"/>
          <w:i/>
        </w:rPr>
        <w:t>b</w:t>
      </w:r>
      <w:proofErr w:type="gramEnd"/>
      <w:r w:rsidRPr="00300BB2">
        <w:rPr>
          <w:rFonts w:ascii="Times New Roman" w:eastAsia="Times New Roman" w:hAnsi="Times New Roman" w:cs="Times New Roman"/>
          <w:i/>
        </w:rPr>
        <w:t xml:space="preserve">. Hours of attendance or participation; </w:t>
      </w:r>
    </w:p>
    <w:p w14:paraId="2D2237C2" w14:textId="77777777" w:rsidR="00246100" w:rsidRPr="00300BB2" w:rsidRDefault="00246100" w:rsidP="00DB5177">
      <w:pPr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i/>
        </w:rPr>
      </w:pPr>
      <w:r w:rsidRPr="00300BB2">
        <w:rPr>
          <w:rFonts w:ascii="Times New Roman" w:eastAsia="Times New Roman" w:hAnsi="Times New Roman" w:cs="Times New Roman"/>
          <w:i/>
        </w:rPr>
        <w:t xml:space="preserve">c. Participant's name; and </w:t>
      </w:r>
    </w:p>
    <w:p w14:paraId="14C1D5C9" w14:textId="77777777" w:rsidR="00246100" w:rsidRPr="00300BB2" w:rsidRDefault="00246100" w:rsidP="00DB5177">
      <w:pPr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i/>
        </w:rPr>
      </w:pPr>
      <w:r w:rsidRPr="00300BB2">
        <w:rPr>
          <w:rFonts w:ascii="Times New Roman" w:eastAsia="Times New Roman" w:hAnsi="Times New Roman" w:cs="Times New Roman"/>
          <w:i/>
        </w:rPr>
        <w:t xml:space="preserve">d. Signature of an authorized representative of the approved sponsor. </w:t>
      </w:r>
    </w:p>
    <w:p w14:paraId="5E242398" w14:textId="6493473E" w:rsidR="00522585" w:rsidRPr="00040F13" w:rsidRDefault="00522585" w:rsidP="00AC344E">
      <w:pPr>
        <w:spacing w:line="25" w:lineRule="atLeast"/>
        <w:rPr>
          <w:rFonts w:ascii="Times New Roman" w:hAnsi="Times New Roman" w:cs="Times New Roman"/>
          <w:sz w:val="24"/>
        </w:rPr>
      </w:pPr>
    </w:p>
    <w:p w14:paraId="23CB0554" w14:textId="5CB7DC56" w:rsidR="000E00F5" w:rsidRPr="00040F13" w:rsidRDefault="000E00F5" w:rsidP="00AC344E">
      <w:pPr>
        <w:spacing w:line="25" w:lineRule="atLeast"/>
        <w:rPr>
          <w:rFonts w:ascii="Times New Roman" w:hAnsi="Times New Roman" w:cs="Times New Roman"/>
          <w:sz w:val="24"/>
        </w:rPr>
      </w:pPr>
      <w:r w:rsidRPr="00040F13">
        <w:rPr>
          <w:rFonts w:ascii="Times New Roman" w:hAnsi="Times New Roman" w:cs="Times New Roman"/>
          <w:sz w:val="24"/>
        </w:rPr>
        <w:t xml:space="preserve">For </w:t>
      </w:r>
      <w:r w:rsidR="00246100" w:rsidRPr="00040F13">
        <w:rPr>
          <w:rFonts w:ascii="Times New Roman" w:hAnsi="Times New Roman" w:cs="Times New Roman"/>
          <w:sz w:val="24"/>
        </w:rPr>
        <w:t>continuing education (CE)</w:t>
      </w:r>
      <w:r w:rsidRPr="00040F13">
        <w:rPr>
          <w:rFonts w:ascii="Times New Roman" w:hAnsi="Times New Roman" w:cs="Times New Roman"/>
          <w:sz w:val="24"/>
        </w:rPr>
        <w:t xml:space="preserve"> programs that are </w:t>
      </w:r>
      <w:r w:rsidR="00246100" w:rsidRPr="00040F13">
        <w:rPr>
          <w:rFonts w:ascii="Times New Roman" w:hAnsi="Times New Roman" w:cs="Times New Roman"/>
          <w:sz w:val="24"/>
        </w:rPr>
        <w:t>approved or offered by NAB</w:t>
      </w:r>
      <w:r w:rsidRPr="00040F13">
        <w:rPr>
          <w:rFonts w:ascii="Times New Roman" w:hAnsi="Times New Roman" w:cs="Times New Roman"/>
          <w:sz w:val="24"/>
        </w:rPr>
        <w:t xml:space="preserve"> for which an electronic certificate of attendance is issued through the NAB CE Registry, the Board will accept such certification as evidence of a “signature from </w:t>
      </w:r>
      <w:r w:rsidRPr="00040F13">
        <w:rPr>
          <w:rFonts w:ascii="Times" w:eastAsia="Times New Roman" w:hAnsi="Times" w:cs="Times"/>
          <w:sz w:val="24"/>
          <w:szCs w:val="24"/>
        </w:rPr>
        <w:t>an authorized representative of the approved sponsor”</w:t>
      </w:r>
      <w:r w:rsidR="00246100" w:rsidRPr="00040F13">
        <w:rPr>
          <w:rFonts w:ascii="Times" w:eastAsia="Times New Roman" w:hAnsi="Times" w:cs="Times"/>
          <w:sz w:val="24"/>
          <w:szCs w:val="24"/>
        </w:rPr>
        <w:t xml:space="preserve"> pursuant to 18VAC95-20-175(C)(2)(d) or 18VAC95-30-70(C)(2)(d)</w:t>
      </w:r>
      <w:r w:rsidRPr="00040F13">
        <w:rPr>
          <w:rFonts w:ascii="Times" w:eastAsia="Times New Roman" w:hAnsi="Times" w:cs="Times"/>
          <w:sz w:val="24"/>
          <w:szCs w:val="24"/>
        </w:rPr>
        <w:t xml:space="preserve">.  </w:t>
      </w:r>
    </w:p>
    <w:p w14:paraId="43B42B88" w14:textId="22D4EFCF" w:rsidR="00061061" w:rsidRDefault="00061061">
      <w:pPr>
        <w:rPr>
          <w:rFonts w:ascii="Times New Roman" w:hAnsi="Times New Roman" w:cs="Times New Roman"/>
          <w:sz w:val="24"/>
        </w:rPr>
      </w:pPr>
    </w:p>
    <w:sectPr w:rsidR="00061061" w:rsidSect="00886C4E">
      <w:headerReference w:type="default" r:id="rId8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9D0E" w14:textId="77777777" w:rsidR="008B44A7" w:rsidRDefault="008B44A7" w:rsidP="008B44A7">
      <w:r>
        <w:separator/>
      </w:r>
    </w:p>
  </w:endnote>
  <w:endnote w:type="continuationSeparator" w:id="0">
    <w:p w14:paraId="26837BAC" w14:textId="77777777" w:rsidR="008B44A7" w:rsidRDefault="008B44A7" w:rsidP="008B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067F8" w14:textId="77777777" w:rsidR="008B44A7" w:rsidRDefault="008B44A7" w:rsidP="008B44A7">
      <w:r>
        <w:separator/>
      </w:r>
    </w:p>
  </w:footnote>
  <w:footnote w:type="continuationSeparator" w:id="0">
    <w:p w14:paraId="6EF5A760" w14:textId="77777777" w:rsidR="008B44A7" w:rsidRDefault="008B44A7" w:rsidP="008B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4D59" w14:textId="0C9F0FF0" w:rsidR="002323B5" w:rsidRPr="002323B5" w:rsidRDefault="002323B5">
    <w:pPr>
      <w:pStyle w:val="Header"/>
      <w:rPr>
        <w:rFonts w:ascii="Times New Roman" w:hAnsi="Times New Roman" w:cs="Times New Roman"/>
      </w:rPr>
    </w:pPr>
    <w:r w:rsidRPr="002323B5">
      <w:rPr>
        <w:rFonts w:ascii="Times New Roman" w:hAnsi="Times New Roman" w:cs="Times New Roman"/>
      </w:rPr>
      <w:t>Guidance document: 95-13</w:t>
    </w:r>
    <w:r w:rsidRPr="002323B5">
      <w:rPr>
        <w:rFonts w:ascii="Times New Roman" w:hAnsi="Times New Roman" w:cs="Times New Roman"/>
      </w:rPr>
      <w:tab/>
    </w:r>
    <w:r w:rsidRPr="002323B5">
      <w:rPr>
        <w:rFonts w:ascii="Times New Roman" w:hAnsi="Times New Roman" w:cs="Times New Roman"/>
      </w:rPr>
      <w:tab/>
    </w:r>
    <w:r w:rsidR="00DB5177">
      <w:rPr>
        <w:rFonts w:ascii="Times New Roman" w:hAnsi="Times New Roman" w:cs="Times New Roman"/>
      </w:rPr>
      <w:t>Revised: October 27, 2021</w:t>
    </w:r>
  </w:p>
  <w:p w14:paraId="60D270BE" w14:textId="5B0006F6" w:rsidR="002323B5" w:rsidRPr="002323B5" w:rsidRDefault="002323B5">
    <w:pPr>
      <w:pStyle w:val="Header"/>
      <w:rPr>
        <w:rFonts w:ascii="Times New Roman" w:hAnsi="Times New Roman" w:cs="Times New Roman"/>
      </w:rPr>
    </w:pPr>
    <w:r w:rsidRPr="002323B5">
      <w:rPr>
        <w:rFonts w:ascii="Times New Roman" w:hAnsi="Times New Roman" w:cs="Times New Roman"/>
      </w:rPr>
      <w:tab/>
    </w:r>
    <w:r w:rsidRPr="002323B5">
      <w:rPr>
        <w:rFonts w:ascii="Times New Roman" w:hAnsi="Times New Roman" w:cs="Times New Roman"/>
      </w:rPr>
      <w:tab/>
      <w:t xml:space="preserve">Effective: </w:t>
    </w:r>
    <w:r w:rsidR="00DB5177">
      <w:rPr>
        <w:rFonts w:ascii="Times New Roman" w:hAnsi="Times New Roman" w:cs="Times New Roman"/>
      </w:rPr>
      <w:t>December 23,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F5B"/>
    <w:multiLevelType w:val="hybridMultilevel"/>
    <w:tmpl w:val="8C728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2C73"/>
    <w:multiLevelType w:val="hybridMultilevel"/>
    <w:tmpl w:val="D5BAD3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84F1192"/>
    <w:multiLevelType w:val="hybridMultilevel"/>
    <w:tmpl w:val="FCBEA10A"/>
    <w:lvl w:ilvl="0" w:tplc="D7F2E52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7166"/>
    <w:multiLevelType w:val="hybridMultilevel"/>
    <w:tmpl w:val="EF56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04F83"/>
    <w:multiLevelType w:val="hybridMultilevel"/>
    <w:tmpl w:val="0388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36"/>
    <w:rsid w:val="000148E1"/>
    <w:rsid w:val="00040F13"/>
    <w:rsid w:val="00061061"/>
    <w:rsid w:val="000E00F5"/>
    <w:rsid w:val="00145D36"/>
    <w:rsid w:val="002323B5"/>
    <w:rsid w:val="00246100"/>
    <w:rsid w:val="00300BB2"/>
    <w:rsid w:val="00362616"/>
    <w:rsid w:val="003D26D3"/>
    <w:rsid w:val="004D604F"/>
    <w:rsid w:val="00522585"/>
    <w:rsid w:val="007C16CA"/>
    <w:rsid w:val="00886C4E"/>
    <w:rsid w:val="008B44A7"/>
    <w:rsid w:val="009B1FB9"/>
    <w:rsid w:val="00A75A72"/>
    <w:rsid w:val="00AC344E"/>
    <w:rsid w:val="00AF0A96"/>
    <w:rsid w:val="00B138B7"/>
    <w:rsid w:val="00B62696"/>
    <w:rsid w:val="00B74A43"/>
    <w:rsid w:val="00BE4113"/>
    <w:rsid w:val="00CA1055"/>
    <w:rsid w:val="00CA741F"/>
    <w:rsid w:val="00CF5428"/>
    <w:rsid w:val="00DB5177"/>
    <w:rsid w:val="00E20CBD"/>
    <w:rsid w:val="00E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83E74D"/>
  <w15:chartTrackingRefBased/>
  <w15:docId w15:val="{4BB6D19A-4069-4D9B-A8CB-ACAAE2E5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5D36"/>
    <w:pPr>
      <w:spacing w:before="100" w:beforeAutospacing="1" w:after="100" w:afterAutospacing="1" w:line="288" w:lineRule="atLeast"/>
      <w:outlineLvl w:val="1"/>
    </w:pPr>
    <w:rPr>
      <w:rFonts w:ascii="Helvetica" w:eastAsia="Times New Roman" w:hAnsi="Helvetica" w:cs="Helvetica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D36"/>
    <w:rPr>
      <w:rFonts w:ascii="Helvetica" w:eastAsia="Times New Roman" w:hAnsi="Helvetica" w:cs="Helvetica"/>
      <w:sz w:val="31"/>
      <w:szCs w:val="31"/>
    </w:rPr>
  </w:style>
  <w:style w:type="paragraph" w:customStyle="1" w:styleId="sectbi">
    <w:name w:val="sectbi"/>
    <w:basedOn w:val="Normal"/>
    <w:rsid w:val="00145D36"/>
    <w:pPr>
      <w:spacing w:after="192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nd">
    <w:name w:val="sectind"/>
    <w:basedOn w:val="Normal"/>
    <w:rsid w:val="00145D36"/>
    <w:pPr>
      <w:spacing w:after="1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bi2">
    <w:name w:val="sectbi2"/>
    <w:basedOn w:val="Normal"/>
    <w:rsid w:val="00145D36"/>
    <w:pPr>
      <w:spacing w:after="192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34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344E"/>
    <w:rPr>
      <w:b/>
      <w:bCs/>
    </w:rPr>
  </w:style>
  <w:style w:type="paragraph" w:styleId="ListParagraph">
    <w:name w:val="List Paragraph"/>
    <w:basedOn w:val="Normal"/>
    <w:uiPriority w:val="34"/>
    <w:qFormat/>
    <w:rsid w:val="00AC3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4A7"/>
  </w:style>
  <w:style w:type="paragraph" w:styleId="Footer">
    <w:name w:val="footer"/>
    <w:basedOn w:val="Normal"/>
    <w:link w:val="FooterChar"/>
    <w:uiPriority w:val="99"/>
    <w:unhideWhenUsed/>
    <w:rsid w:val="008B4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324855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0C0C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2507232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0C0C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7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F0FF-3F86-4D92-80DF-7233B6D1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Wolf, Corie (DHP)</dc:creator>
  <cp:keywords/>
  <dc:description/>
  <cp:lastModifiedBy>VITA Program</cp:lastModifiedBy>
  <cp:revision>5</cp:revision>
  <dcterms:created xsi:type="dcterms:W3CDTF">2020-09-15T19:12:00Z</dcterms:created>
  <dcterms:modified xsi:type="dcterms:W3CDTF">2021-10-27T19:00:00Z</dcterms:modified>
</cp:coreProperties>
</file>