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8AD6" w14:textId="78AC192F" w:rsidR="00CB5D14" w:rsidRDefault="00610A5E" w:rsidP="00A84B43">
      <w:pPr>
        <w:pStyle w:val="textbl"/>
        <w:jc w:val="center"/>
      </w:pPr>
      <w:r w:rsidRPr="00A84B43">
        <w:rPr>
          <w:b/>
          <w:bCs/>
          <w:highlight w:val="yellow"/>
        </w:rPr>
        <w:t>Emergency</w:t>
      </w:r>
      <w:r w:rsidR="00A84B43" w:rsidRPr="00A84B43">
        <w:rPr>
          <w:b/>
          <w:bCs/>
          <w:highlight w:val="yellow"/>
        </w:rPr>
        <w:t xml:space="preserve"> Regulations – effective 2/2</w:t>
      </w:r>
      <w:r w:rsidR="000158E6">
        <w:rPr>
          <w:b/>
          <w:bCs/>
          <w:highlight w:val="yellow"/>
        </w:rPr>
        <w:t>1</w:t>
      </w:r>
      <w:r w:rsidR="00A84B43" w:rsidRPr="00A84B43">
        <w:rPr>
          <w:b/>
          <w:bCs/>
          <w:highlight w:val="yellow"/>
        </w:rPr>
        <w:t>/2</w:t>
      </w:r>
      <w:r w:rsidR="000158E6">
        <w:rPr>
          <w:b/>
          <w:bCs/>
          <w:highlight w:val="yellow"/>
        </w:rPr>
        <w:t>3</w:t>
      </w:r>
      <w:r w:rsidR="00A84B43" w:rsidRPr="00A84B43">
        <w:rPr>
          <w:b/>
          <w:bCs/>
          <w:highlight w:val="yellow"/>
        </w:rPr>
        <w:t xml:space="preserve"> to </w:t>
      </w:r>
      <w:r w:rsidR="000158E6">
        <w:rPr>
          <w:b/>
          <w:bCs/>
          <w:highlight w:val="yellow"/>
        </w:rPr>
        <w:t>8</w:t>
      </w:r>
      <w:r w:rsidR="00A84B43" w:rsidRPr="00A84B43">
        <w:rPr>
          <w:b/>
          <w:bCs/>
          <w:highlight w:val="yellow"/>
        </w:rPr>
        <w:t>/2</w:t>
      </w:r>
      <w:r w:rsidR="00F47EA4">
        <w:rPr>
          <w:b/>
          <w:bCs/>
          <w:highlight w:val="yellow"/>
        </w:rPr>
        <w:t>0</w:t>
      </w:r>
      <w:r w:rsidR="00A84B43" w:rsidRPr="00A84B43">
        <w:rPr>
          <w:b/>
          <w:bCs/>
          <w:highlight w:val="yellow"/>
        </w:rPr>
        <w:t>/2</w:t>
      </w:r>
      <w:r w:rsidR="000158E6" w:rsidRPr="000158E6">
        <w:rPr>
          <w:b/>
          <w:bCs/>
          <w:highlight w:val="yellow"/>
        </w:rPr>
        <w:t>4</w:t>
      </w:r>
    </w:p>
    <w:p w14:paraId="5B4D3CEF" w14:textId="77777777" w:rsidR="00CB5D14" w:rsidRDefault="00A84B43">
      <w:pPr>
        <w:pStyle w:val="center"/>
      </w:pPr>
      <w:r>
        <w:rPr>
          <w:b/>
          <w:bCs/>
        </w:rPr>
        <w:t>Board o</w:t>
      </w:r>
      <w:r w:rsidR="00610A5E">
        <w:rPr>
          <w:b/>
          <w:bCs/>
        </w:rPr>
        <w:t>f Pharmacy</w:t>
      </w:r>
    </w:p>
    <w:p w14:paraId="3D278D24" w14:textId="425A24D7" w:rsidR="00CB5D14" w:rsidRDefault="00610A5E">
      <w:pPr>
        <w:pStyle w:val="center"/>
      </w:pPr>
      <w:r>
        <w:rPr>
          <w:b/>
          <w:bCs/>
        </w:rPr>
        <w:t>202</w:t>
      </w:r>
      <w:r w:rsidR="00925E43">
        <w:rPr>
          <w:b/>
          <w:bCs/>
        </w:rPr>
        <w:t>2</w:t>
      </w:r>
      <w:r>
        <w:rPr>
          <w:b/>
          <w:bCs/>
        </w:rPr>
        <w:t xml:space="preserve"> changes to pharmacists initiating treatment</w:t>
      </w:r>
    </w:p>
    <w:p w14:paraId="2B1F7124" w14:textId="77777777" w:rsidR="00CB5D14" w:rsidRPr="00925E43" w:rsidRDefault="00610A5E">
      <w:pPr>
        <w:pStyle w:val="vacno"/>
      </w:pPr>
      <w:r w:rsidRPr="00925E43">
        <w:t xml:space="preserve">18VAC110-21-46. Initiation of treatment by a pharmacist. </w:t>
      </w:r>
    </w:p>
    <w:p w14:paraId="70443357" w14:textId="078CBADF" w:rsidR="00CB5D14" w:rsidRPr="00925E43" w:rsidRDefault="00610A5E">
      <w:pPr>
        <w:pStyle w:val="sectind"/>
      </w:pPr>
      <w:r w:rsidRPr="00925E43">
        <w:t>A. Pursuant to § 54.1-3303.1 of the Code of Virginia, a pharmacist may initiate treatment with, dispense, or administer the following drugs, devices, controlled paraphernalia, and other supplies and equipment to persons 18 years of age or older</w:t>
      </w:r>
      <w:r w:rsidR="00925E43">
        <w:t xml:space="preserve"> </w:t>
      </w:r>
      <w:r w:rsidR="00925E43">
        <w:rPr>
          <w:u w:val="single"/>
        </w:rPr>
        <w:t>with whom the pharmacist has a bona fide pharmacist-patient relationship</w:t>
      </w:r>
      <w:r w:rsidRPr="00925E43">
        <w:t xml:space="preserve">: </w:t>
      </w:r>
    </w:p>
    <w:p w14:paraId="03727277" w14:textId="776ABA99" w:rsidR="00CB5D14" w:rsidRPr="00925E43" w:rsidRDefault="00610A5E">
      <w:pPr>
        <w:pStyle w:val="sectbi"/>
      </w:pPr>
      <w:r w:rsidRPr="00925E43">
        <w:t xml:space="preserve">1. Naloxone or other opioid antagonist, including such controlled paraphernalia, as defined in § </w:t>
      </w:r>
      <w:r w:rsidRPr="004A12BF">
        <w:t>54.1-3466</w:t>
      </w:r>
      <w:r w:rsidRPr="00925E43">
        <w:t xml:space="preserve"> of the Code of Virginia, as may be necessary to administer such naloxone or other opioid </w:t>
      </w:r>
      <w:proofErr w:type="gramStart"/>
      <w:r w:rsidRPr="00925E43">
        <w:t>antagonist;</w:t>
      </w:r>
      <w:proofErr w:type="gramEnd"/>
    </w:p>
    <w:p w14:paraId="589DFB66" w14:textId="77777777" w:rsidR="00CB5D14" w:rsidRPr="00925E43" w:rsidRDefault="00610A5E">
      <w:pPr>
        <w:pStyle w:val="sectbi"/>
      </w:pPr>
      <w:r w:rsidRPr="00925E43">
        <w:t xml:space="preserve">2. </w:t>
      </w:r>
      <w:proofErr w:type="gramStart"/>
      <w:r w:rsidRPr="00925E43">
        <w:t>Epinephrine;</w:t>
      </w:r>
      <w:proofErr w:type="gramEnd"/>
    </w:p>
    <w:p w14:paraId="3FC24C6D" w14:textId="77777777" w:rsidR="00CB5D14" w:rsidRPr="00925E43" w:rsidRDefault="00610A5E">
      <w:pPr>
        <w:pStyle w:val="sectbi"/>
      </w:pPr>
      <w:r w:rsidRPr="00925E43">
        <w:t xml:space="preserve">3. Injectable or self-administered hormonal contraceptives, provided the patient completes an assessment consistent with the United States Medical Eligibility Criteria for Contraceptive </w:t>
      </w:r>
      <w:proofErr w:type="gramStart"/>
      <w:r w:rsidRPr="00925E43">
        <w:t>Use;</w:t>
      </w:r>
      <w:proofErr w:type="gramEnd"/>
    </w:p>
    <w:p w14:paraId="1BFAB94E" w14:textId="77777777" w:rsidR="00CB5D14" w:rsidRPr="00925E43" w:rsidRDefault="00610A5E">
      <w:pPr>
        <w:pStyle w:val="sectbi"/>
      </w:pPr>
      <w:r w:rsidRPr="00925E43">
        <w:t xml:space="preserve">4. Prenatal vitamins for which a prescription is </w:t>
      </w:r>
      <w:proofErr w:type="gramStart"/>
      <w:r w:rsidRPr="00925E43">
        <w:t>required;</w:t>
      </w:r>
      <w:proofErr w:type="gramEnd"/>
    </w:p>
    <w:p w14:paraId="7CA3B8A7" w14:textId="77777777" w:rsidR="00CB5D14" w:rsidRPr="00925E43" w:rsidRDefault="00610A5E">
      <w:pPr>
        <w:pStyle w:val="sectbi"/>
      </w:pPr>
      <w:r w:rsidRPr="00925E43">
        <w:t xml:space="preserve">5. Dietary fluoride supplements, in accordance with recommendations of the American Dental Association for prescribing of such supplements for persons whose drinking water has a fluoride content below the concentration recommended by the U.S. Department of Health and Human </w:t>
      </w:r>
      <w:proofErr w:type="gramStart"/>
      <w:r w:rsidRPr="00925E43">
        <w:t>Services;</w:t>
      </w:r>
      <w:proofErr w:type="gramEnd"/>
    </w:p>
    <w:p w14:paraId="2FEFDE46" w14:textId="77777777" w:rsidR="00CB5D14" w:rsidRPr="00925E43" w:rsidRDefault="00610A5E">
      <w:pPr>
        <w:pStyle w:val="sectbi"/>
      </w:pPr>
      <w:r w:rsidRPr="00925E43">
        <w:t xml:space="preserve">6. Drugs as defined in §54.1-3401, devices as defined in §54.1-3401, controlled paraphernalia as defined in §54.1-3466, and other supplies and equipment available </w:t>
      </w:r>
      <w:proofErr w:type="gramStart"/>
      <w:r w:rsidRPr="00925E43">
        <w:t>over-the-counter</w:t>
      </w:r>
      <w:proofErr w:type="gramEnd"/>
      <w:r w:rsidRPr="00925E43">
        <w:t xml:space="preserve">, covered by the patient's health carrier when the patient's out-of-pocket cost </w:t>
      </w:r>
      <w:r w:rsidRPr="00925E43">
        <w:lastRenderedPageBreak/>
        <w:t>is lower than the out-of-pocket cost to purchase an over-the-counter equivalent of the same drug, device, controlled paraphernalia, or other supplies or equipment;</w:t>
      </w:r>
    </w:p>
    <w:p w14:paraId="202EE3CC" w14:textId="27AAA377" w:rsidR="00CB5D14" w:rsidRPr="00925E43" w:rsidRDefault="00610A5E">
      <w:pPr>
        <w:pStyle w:val="sectbi"/>
      </w:pPr>
      <w:r w:rsidRPr="00925E43">
        <w:t xml:space="preserve">7. Vaccines included on the Immunization Schedule published by the Centers for Disease Control and Prevention </w:t>
      </w:r>
      <w:r w:rsidRPr="00925E43">
        <w:rPr>
          <w:strike/>
        </w:rPr>
        <w:t>or that have a current emergency use authorization from the U.S. Food and Drug Administration</w:t>
      </w:r>
      <w:r w:rsidR="00925E43">
        <w:t xml:space="preserve"> </w:t>
      </w:r>
      <w:r w:rsidR="00925E43">
        <w:rPr>
          <w:u w:val="single"/>
        </w:rPr>
        <w:t>and vaccines for COVID-</w:t>
      </w:r>
      <w:proofErr w:type="gramStart"/>
      <w:r w:rsidR="00925E43">
        <w:rPr>
          <w:u w:val="single"/>
        </w:rPr>
        <w:t>19</w:t>
      </w:r>
      <w:r w:rsidRPr="00925E43">
        <w:t>;</w:t>
      </w:r>
      <w:proofErr w:type="gramEnd"/>
    </w:p>
    <w:p w14:paraId="41E5BDB6" w14:textId="77777777" w:rsidR="00CB5D14" w:rsidRPr="00925E43" w:rsidRDefault="00610A5E">
      <w:pPr>
        <w:pStyle w:val="sectbi"/>
      </w:pPr>
      <w:r w:rsidRPr="00925E43">
        <w:t xml:space="preserve">8. Tuberculin purified protein derivative for tuberculosis testing; </w:t>
      </w:r>
      <w:r w:rsidRPr="00925E43">
        <w:rPr>
          <w:strike/>
        </w:rPr>
        <w:t>and</w:t>
      </w:r>
    </w:p>
    <w:p w14:paraId="25ABB63A" w14:textId="6F662BF3" w:rsidR="00CB5D14" w:rsidRDefault="00610A5E">
      <w:pPr>
        <w:pStyle w:val="sectbi"/>
        <w:rPr>
          <w:u w:val="single"/>
        </w:rPr>
      </w:pPr>
      <w:r w:rsidRPr="00925E43">
        <w:t>9. Controlled substances for the prevention of human immunodeficiency virus, including controlled substances prescribed for pre-exposure and post-exposure prophylaxis pursuant to guidelines and recommendations of the Centers for Disease Control and Prevention</w:t>
      </w:r>
      <w:r w:rsidR="00925E43">
        <w:rPr>
          <w:u w:val="single"/>
        </w:rPr>
        <w:t>; and</w:t>
      </w:r>
    </w:p>
    <w:p w14:paraId="3DB0F7CC" w14:textId="085ABD22" w:rsidR="00925E43" w:rsidRPr="00925E43" w:rsidRDefault="00925E43">
      <w:pPr>
        <w:pStyle w:val="sectbi"/>
        <w:rPr>
          <w:u w:val="single"/>
        </w:rPr>
      </w:pPr>
      <w:r>
        <w:rPr>
          <w:u w:val="single"/>
        </w:rPr>
        <w:t xml:space="preserve">10. Nicotine replacement and other tobacco-cessation therapies, including controlled substances as defined in the Drug Control Act, § 54.1-3400 </w:t>
      </w:r>
      <w:r>
        <w:rPr>
          <w:i/>
          <w:iCs/>
          <w:u w:val="single"/>
        </w:rPr>
        <w:t>et seq.</w:t>
      </w:r>
      <w:r>
        <w:rPr>
          <w:u w:val="single"/>
        </w:rPr>
        <w:t xml:space="preserve"> of the Code of Virginia, together with appropriate patient counseling.</w:t>
      </w:r>
    </w:p>
    <w:p w14:paraId="5285B2B6" w14:textId="77777777" w:rsidR="00925E43" w:rsidRDefault="00925E43">
      <w:pPr>
        <w:pStyle w:val="sectind"/>
        <w:rPr>
          <w:u w:val="single"/>
        </w:rPr>
      </w:pPr>
      <w:r>
        <w:rPr>
          <w:u w:val="single"/>
        </w:rPr>
        <w:t xml:space="preserve">B. Notwithstanding the provisions of § 54.1-3303 of the Code of Virginia, a pharmacist may initiate treatment with, dispense or administer the following drugs and devices to persons three years of age or older: </w:t>
      </w:r>
    </w:p>
    <w:p w14:paraId="27279CB0" w14:textId="5E8F73D5" w:rsidR="00925E43" w:rsidRDefault="00925E43" w:rsidP="00925E43">
      <w:pPr>
        <w:pStyle w:val="sectind"/>
        <w:ind w:left="720" w:firstLine="0"/>
        <w:rPr>
          <w:u w:val="single"/>
        </w:rPr>
      </w:pPr>
      <w:r>
        <w:rPr>
          <w:u w:val="single"/>
        </w:rPr>
        <w:t xml:space="preserve"> 1. Vaccines included on the Immunization Schedule published by the Centers for Disease Control and Prevention and vaccines for COVID-19; and </w:t>
      </w:r>
    </w:p>
    <w:p w14:paraId="405B92A9" w14:textId="7CF0F531" w:rsidR="00925E43" w:rsidRDefault="00925E43" w:rsidP="00925E43">
      <w:pPr>
        <w:pStyle w:val="sectind"/>
        <w:ind w:left="720" w:firstLine="0"/>
        <w:rPr>
          <w:u w:val="single"/>
        </w:rPr>
      </w:pPr>
      <w:r>
        <w:rPr>
          <w:u w:val="single"/>
        </w:rPr>
        <w:t>2. Tests for COVID-19 and other coronaviruses.</w:t>
      </w:r>
    </w:p>
    <w:p w14:paraId="42FB5329" w14:textId="45B6D1CC" w:rsidR="00925E43" w:rsidRPr="00925E43" w:rsidRDefault="00925E43" w:rsidP="00925E43">
      <w:pPr>
        <w:pStyle w:val="sectind"/>
        <w:rPr>
          <w:u w:val="single"/>
        </w:rPr>
      </w:pPr>
      <w:r>
        <w:rPr>
          <w:u w:val="single"/>
        </w:rPr>
        <w:t>The provisions of subsection B will become effective upon expiration of the provisions of the federal Declaration Under the Public Readiness and Emergency Preparedness Act for Medical Countermeasures Against COVID-19 related to the vaccination and COVID-19 testing of minors.</w:t>
      </w:r>
    </w:p>
    <w:p w14:paraId="477A9102" w14:textId="4E57EE99" w:rsidR="00CB5D14" w:rsidRPr="00925E43" w:rsidRDefault="00610A5E">
      <w:pPr>
        <w:pStyle w:val="sectind"/>
      </w:pPr>
      <w:r w:rsidRPr="00925E43">
        <w:rPr>
          <w:strike/>
        </w:rPr>
        <w:lastRenderedPageBreak/>
        <w:t>B.</w:t>
      </w:r>
      <w:r w:rsidR="00925E43">
        <w:t xml:space="preserve"> </w:t>
      </w:r>
      <w:r w:rsidR="00925E43">
        <w:rPr>
          <w:u w:val="single"/>
        </w:rPr>
        <w:t>C.</w:t>
      </w:r>
      <w:r w:rsidRPr="00925E43">
        <w:t xml:space="preserve"> Pharmacists who initiate treatment with, dispense, or administer a drug,</w:t>
      </w:r>
      <w:r w:rsidR="00925E43">
        <w:t xml:space="preserve"> </w:t>
      </w:r>
      <w:r w:rsidRPr="00925E43">
        <w:t xml:space="preserve">device, controlled paraphernalia, or other supplies or equipment pursuant to </w:t>
      </w:r>
      <w:r w:rsidRPr="00925E43">
        <w:rPr>
          <w:strike/>
        </w:rPr>
        <w:t>subsection</w:t>
      </w:r>
      <w:r w:rsidR="00925E43">
        <w:t xml:space="preserve"> </w:t>
      </w:r>
      <w:r w:rsidR="00925E43">
        <w:rPr>
          <w:u w:val="single"/>
        </w:rPr>
        <w:t>subsections</w:t>
      </w:r>
      <w:r w:rsidRPr="00925E43">
        <w:t xml:space="preserve"> A </w:t>
      </w:r>
      <w:r w:rsidR="00925E43">
        <w:rPr>
          <w:u w:val="single"/>
        </w:rPr>
        <w:t xml:space="preserve">and B </w:t>
      </w:r>
      <w:r w:rsidRPr="00925E43">
        <w:t>shall:</w:t>
      </w:r>
    </w:p>
    <w:p w14:paraId="4419CD92" w14:textId="77777777" w:rsidR="00CB5D14" w:rsidRPr="00925E43" w:rsidRDefault="00610A5E">
      <w:pPr>
        <w:pStyle w:val="sectbi"/>
      </w:pPr>
      <w:r w:rsidRPr="00925E43">
        <w:t>1. Follow the statewide protocol adopted by the board for each drug, device, controlled paraphernalia, or other supplies or equipment.</w:t>
      </w:r>
    </w:p>
    <w:p w14:paraId="2CF03DB2" w14:textId="256B0E30" w:rsidR="00CB5D14" w:rsidRPr="00925E43" w:rsidRDefault="00610A5E">
      <w:pPr>
        <w:pStyle w:val="sectbi"/>
      </w:pPr>
      <w:r w:rsidRPr="00925E43">
        <w:t>2. Notify the patient's primary health care provider that treatment has been initiated with such drug or device or that such drug or device has been dispensed or administered to the patient, provided that the patient consents to such notification.</w:t>
      </w:r>
      <w:r w:rsidR="002238EE">
        <w:t xml:space="preserve"> </w:t>
      </w:r>
      <w:r w:rsidR="002238EE">
        <w:rPr>
          <w:u w:val="single"/>
        </w:rPr>
        <w:t xml:space="preserve">No pharmacist shall limit the ability of notification to be sent to the patient’s primary care provider by requiring use of electronic mail that is secure or compliant with the federal Health Insurance Portability and Accountability Act, 42 U.S.C. § 1320d </w:t>
      </w:r>
      <w:r w:rsidR="002238EE">
        <w:rPr>
          <w:i/>
          <w:iCs/>
          <w:u w:val="single"/>
        </w:rPr>
        <w:t>et seq.</w:t>
      </w:r>
      <w:r w:rsidRPr="00925E43">
        <w:t xml:space="preserve"> If the patient does not have a primary health care provider, the pharmacist shall counsel the patient regarding the benefits of establishing a relationship with a primary health care provider and</w:t>
      </w:r>
      <w:r w:rsidRPr="00C44C92">
        <w:rPr>
          <w:strike/>
        </w:rPr>
        <w:t>, upon request,</w:t>
      </w:r>
      <w:r w:rsidRPr="00925E43">
        <w:t xml:space="preserve"> provide information regarding primary health care providers, including federally qualified health centers, free clinics, or local health departments serving the area in which the patient is located. If the pharmacist is initiating treatment with, dispensing, or administering injectable or self-administered hormonal contraceptives, the pharmacist shall counsel the patient regarding seeking preventative care, including (</w:t>
      </w:r>
      <w:proofErr w:type="spellStart"/>
      <w:r w:rsidRPr="00925E43">
        <w:t>i</w:t>
      </w:r>
      <w:proofErr w:type="spellEnd"/>
      <w:r w:rsidRPr="00925E43">
        <w:t>) routine well-woman visits, (ii) testing for sexually transmitted infections, and (iii) pap smears. If the pharmacist is administering a vaccine pursuant to this section, the pharmacist shall report such administration to the Virginia Immunization Information System in accordance with the requirements of §32.1-46.01.</w:t>
      </w:r>
    </w:p>
    <w:p w14:paraId="177B9F79" w14:textId="77777777" w:rsidR="00CB5D14" w:rsidRPr="00925E43" w:rsidRDefault="00610A5E">
      <w:pPr>
        <w:pStyle w:val="sectbi"/>
      </w:pPr>
      <w:r w:rsidRPr="00925E43">
        <w:t>3.</w:t>
      </w:r>
      <w:r w:rsidRPr="00925E43">
        <w:rPr>
          <w:b/>
          <w:bCs/>
        </w:rPr>
        <w:t xml:space="preserve"> </w:t>
      </w:r>
      <w:r w:rsidRPr="00925E43">
        <w:t xml:space="preserve">Maintain a patient record for a minimum of six years following the last patient encounter with the following exceptions: </w:t>
      </w:r>
    </w:p>
    <w:p w14:paraId="7CA19535" w14:textId="77777777" w:rsidR="00CB5D14" w:rsidRPr="00925E43" w:rsidRDefault="00610A5E">
      <w:pPr>
        <w:pStyle w:val="sectbi2"/>
      </w:pPr>
      <w:r w:rsidRPr="00925E43">
        <w:lastRenderedPageBreak/>
        <w:t xml:space="preserve">a. Records that have previously been transferred to another practitioner or health care provider or provided to the patient or the patient's personal representative; or </w:t>
      </w:r>
    </w:p>
    <w:p w14:paraId="5DE6118E" w14:textId="77777777" w:rsidR="00CB5D14" w:rsidRPr="00925E43" w:rsidRDefault="00610A5E">
      <w:pPr>
        <w:pStyle w:val="sectbi2"/>
      </w:pPr>
      <w:r w:rsidRPr="00925E43">
        <w:t xml:space="preserve">b. Records that are required by contractual obligation or federal law to be maintained for a longer </w:t>
      </w:r>
      <w:proofErr w:type="gramStart"/>
      <w:r w:rsidRPr="00925E43">
        <w:t>period of time</w:t>
      </w:r>
      <w:proofErr w:type="gramEnd"/>
      <w:r w:rsidRPr="00925E43">
        <w:t xml:space="preserve">. </w:t>
      </w:r>
    </w:p>
    <w:p w14:paraId="5E3C65CD" w14:textId="480982D4" w:rsidR="00CB5D14" w:rsidRDefault="00610A5E">
      <w:pPr>
        <w:pStyle w:val="sectbi"/>
      </w:pPr>
      <w:r w:rsidRPr="00925E43">
        <w:t>4. Perform the activities in a manner that protects patient confidentiality and complies with the Health Insurance Portability and Accountability Act, 42 U.S.C. § 1320d et seq.</w:t>
      </w:r>
    </w:p>
    <w:p w14:paraId="2FECDD47" w14:textId="1A5F282B" w:rsidR="00C44C92" w:rsidRDefault="00C44C92">
      <w:pPr>
        <w:pStyle w:val="sectbi"/>
        <w:rPr>
          <w:u w:val="single"/>
        </w:rPr>
      </w:pPr>
      <w:r>
        <w:rPr>
          <w:u w:val="single"/>
        </w:rPr>
        <w:t xml:space="preserve">5. Obtain a history from the patient, including questioning the patient for any known allergies, adverse reactions, contraindications, or health diagnoses or conditions that would be </w:t>
      </w:r>
      <w:proofErr w:type="gramStart"/>
      <w:r>
        <w:rPr>
          <w:u w:val="single"/>
        </w:rPr>
        <w:t>adverse</w:t>
      </w:r>
      <w:proofErr w:type="gramEnd"/>
      <w:r>
        <w:rPr>
          <w:u w:val="single"/>
        </w:rPr>
        <w:t xml:space="preserve"> to the initiation of treatment, dispensing, or administration.</w:t>
      </w:r>
    </w:p>
    <w:p w14:paraId="4F94B93C" w14:textId="6D4245A3" w:rsidR="00C44C92" w:rsidRDefault="00C44C92">
      <w:pPr>
        <w:pStyle w:val="sectbi"/>
        <w:rPr>
          <w:u w:val="single"/>
        </w:rPr>
      </w:pPr>
      <w:r>
        <w:rPr>
          <w:u w:val="single"/>
        </w:rPr>
        <w:t xml:space="preserve">6. </w:t>
      </w:r>
      <w:r w:rsidR="00D7149A">
        <w:rPr>
          <w:u w:val="single"/>
        </w:rPr>
        <w:t>A pharmacist who administers a vaccination to a minor pursuant to subsection B 1 shall provide written notice to the minor’s parent or guardian that the minor should visit a pediatrician annually.</w:t>
      </w:r>
    </w:p>
    <w:p w14:paraId="22765F19" w14:textId="694A782B" w:rsidR="00D7149A" w:rsidRPr="00C44C92" w:rsidRDefault="00D7149A" w:rsidP="00D7149A">
      <w:pPr>
        <w:pStyle w:val="sectbi"/>
        <w:ind w:left="0" w:firstLine="360"/>
        <w:rPr>
          <w:u w:val="single"/>
        </w:rPr>
      </w:pPr>
      <w:r>
        <w:rPr>
          <w:u w:val="single"/>
        </w:rPr>
        <w:t>D. A pharmacist may initiate treatment with, dispense, or administer drugs, devices, controlled paraphernalia, and other supplies and equipment pursuant to this section through telemedicine services, as defined in § 38.2-3418.16 of the Code of Virginia, in compliance with all requirements of § 54.1-3303 of the Code of Virginia and consistent with the applicable standard of care.</w:t>
      </w:r>
    </w:p>
    <w:sectPr w:rsidR="00D7149A" w:rsidRPr="00C44C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63"/>
    <w:rsid w:val="000158E6"/>
    <w:rsid w:val="002238EE"/>
    <w:rsid w:val="00412D63"/>
    <w:rsid w:val="004A12BF"/>
    <w:rsid w:val="00610A5E"/>
    <w:rsid w:val="00925553"/>
    <w:rsid w:val="00925E43"/>
    <w:rsid w:val="00A31B10"/>
    <w:rsid w:val="00A84B43"/>
    <w:rsid w:val="00C44C92"/>
    <w:rsid w:val="00CB5D14"/>
    <w:rsid w:val="00D7149A"/>
    <w:rsid w:val="00F47EA4"/>
    <w:rsid w:val="00F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A757"/>
  <w15:docId w15:val="{18566743-D84F-4BD6-87A1-DC888DC3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pPr>
      <w:keepNext/>
      <w:autoSpaceDE w:val="0"/>
      <w:autoSpaceDN w:val="0"/>
      <w:spacing w:before="120" w:after="0" w:line="480" w:lineRule="auto"/>
      <w:jc w:val="center"/>
    </w:pPr>
    <w:rPr>
      <w:rFonts w:ascii="Arial" w:hAnsi="Arial" w:cs="Arial"/>
    </w:rPr>
  </w:style>
  <w:style w:type="paragraph" w:customStyle="1" w:styleId="textbl">
    <w:name w:val="textbl"/>
    <w:basedOn w:val="Normal"/>
    <w:pPr>
      <w:autoSpaceDE w:val="0"/>
      <w:autoSpaceDN w:val="0"/>
      <w:spacing w:before="120" w:after="0" w:line="480" w:lineRule="auto"/>
      <w:jc w:val="both"/>
    </w:pPr>
    <w:rPr>
      <w:rFonts w:ascii="Arial" w:hAnsi="Arial" w:cs="Arial"/>
    </w:rPr>
  </w:style>
  <w:style w:type="paragraph" w:customStyle="1" w:styleId="sectbi">
    <w:name w:val="sectbi"/>
    <w:basedOn w:val="Normal"/>
    <w:pPr>
      <w:autoSpaceDE w:val="0"/>
      <w:autoSpaceDN w:val="0"/>
      <w:spacing w:before="120" w:after="0" w:line="480" w:lineRule="auto"/>
      <w:ind w:left="720"/>
      <w:jc w:val="both"/>
    </w:pPr>
    <w:rPr>
      <w:rFonts w:ascii="Arial" w:hAnsi="Arial" w:cs="Arial"/>
    </w:rPr>
  </w:style>
  <w:style w:type="paragraph" w:customStyle="1" w:styleId="sectbi2">
    <w:name w:val="sectbi2"/>
    <w:basedOn w:val="Normal"/>
    <w:pPr>
      <w:autoSpaceDE w:val="0"/>
      <w:autoSpaceDN w:val="0"/>
      <w:spacing w:before="120" w:after="0" w:line="480" w:lineRule="auto"/>
      <w:ind w:left="1080"/>
      <w:jc w:val="both"/>
    </w:pPr>
    <w:rPr>
      <w:rFonts w:ascii="Arial" w:hAnsi="Arial" w:cs="Arial"/>
    </w:rPr>
  </w:style>
  <w:style w:type="paragraph" w:customStyle="1" w:styleId="sectind">
    <w:name w:val="sectind"/>
    <w:basedOn w:val="Normal"/>
    <w:pPr>
      <w:autoSpaceDE w:val="0"/>
      <w:autoSpaceDN w:val="0"/>
      <w:spacing w:before="120" w:after="0" w:line="480" w:lineRule="auto"/>
      <w:ind w:firstLine="360"/>
      <w:jc w:val="both"/>
    </w:pPr>
    <w:rPr>
      <w:rFonts w:ascii="Arial" w:hAnsi="Arial" w:cs="Arial"/>
    </w:rPr>
  </w:style>
  <w:style w:type="paragraph" w:customStyle="1" w:styleId="vacno">
    <w:name w:val="vacno"/>
    <w:basedOn w:val="Normal"/>
    <w:pPr>
      <w:keepNext/>
      <w:autoSpaceDE w:val="0"/>
      <w:autoSpaceDN w:val="0"/>
      <w:spacing w:before="120" w:after="0" w:line="480" w:lineRule="auto"/>
      <w:jc w:val="both"/>
    </w:pPr>
    <w:rPr>
      <w:rFonts w:ascii="Arial" w:hAnsi="Arial" w:cs="Arial"/>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Yeatts, Elaine J. (DHP)</dc:creator>
  <cp:lastModifiedBy>Cecchi, Sarah (DHP)</cp:lastModifiedBy>
  <cp:revision>2</cp:revision>
  <dcterms:created xsi:type="dcterms:W3CDTF">2023-02-22T20:55:00Z</dcterms:created>
  <dcterms:modified xsi:type="dcterms:W3CDTF">2023-02-22T20:55:00Z</dcterms:modified>
</cp:coreProperties>
</file>