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8C" w:rsidRDefault="001E628C" w:rsidP="001E628C">
      <w:pPr>
        <w:jc w:val="center"/>
        <w:rPr>
          <w:b/>
          <w:sz w:val="28"/>
          <w:szCs w:val="28"/>
        </w:rPr>
      </w:pPr>
      <w:bookmarkStart w:id="0" w:name="_GoBack"/>
      <w:bookmarkEnd w:id="0"/>
      <w:r>
        <w:rPr>
          <w:b/>
          <w:sz w:val="28"/>
          <w:szCs w:val="28"/>
        </w:rPr>
        <w:t xml:space="preserve">Virginia Board of </w:t>
      </w:r>
      <w:r w:rsidR="00566866">
        <w:rPr>
          <w:b/>
          <w:sz w:val="28"/>
          <w:szCs w:val="28"/>
        </w:rPr>
        <w:t>Counseling</w:t>
      </w:r>
    </w:p>
    <w:p w:rsidR="001E628C" w:rsidRDefault="001E628C" w:rsidP="001E628C">
      <w:pPr>
        <w:jc w:val="center"/>
        <w:rPr>
          <w:b/>
          <w:sz w:val="28"/>
          <w:szCs w:val="28"/>
        </w:rPr>
      </w:pPr>
    </w:p>
    <w:p w:rsidR="001E628C" w:rsidRDefault="001E628C" w:rsidP="001E628C">
      <w:pPr>
        <w:jc w:val="center"/>
        <w:rPr>
          <w:b/>
          <w:sz w:val="28"/>
          <w:szCs w:val="28"/>
        </w:rPr>
      </w:pPr>
      <w:r w:rsidRPr="001E628C">
        <w:rPr>
          <w:b/>
          <w:sz w:val="28"/>
          <w:szCs w:val="28"/>
        </w:rPr>
        <w:t>Guidance Document</w:t>
      </w:r>
      <w:r>
        <w:rPr>
          <w:b/>
          <w:sz w:val="28"/>
          <w:szCs w:val="28"/>
        </w:rPr>
        <w:t xml:space="preserve"> on the Practice of Conversion Therapy</w:t>
      </w:r>
    </w:p>
    <w:p w:rsidR="001E628C" w:rsidRDefault="001E628C" w:rsidP="001E628C">
      <w:pPr>
        <w:jc w:val="center"/>
        <w:rPr>
          <w:b/>
          <w:sz w:val="28"/>
          <w:szCs w:val="28"/>
        </w:rPr>
      </w:pPr>
    </w:p>
    <w:p w:rsidR="001E628C" w:rsidRDefault="001E628C" w:rsidP="001E628C">
      <w:pPr>
        <w:jc w:val="center"/>
        <w:rPr>
          <w:b/>
          <w:sz w:val="28"/>
          <w:szCs w:val="28"/>
        </w:rPr>
      </w:pPr>
    </w:p>
    <w:p w:rsidR="001E628C" w:rsidRPr="001E628C" w:rsidRDefault="001E628C" w:rsidP="001E628C">
      <w:pPr>
        <w:rPr>
          <w:sz w:val="24"/>
          <w:szCs w:val="24"/>
        </w:rPr>
      </w:pPr>
      <w:r w:rsidRPr="001E628C">
        <w:rPr>
          <w:sz w:val="24"/>
          <w:szCs w:val="24"/>
        </w:rPr>
        <w:t>For the purposes of this guidance "conversion therapy" or "sexual orientation change effort</w:t>
      </w:r>
      <w:r w:rsidR="00BC1DF6">
        <w:rPr>
          <w:sz w:val="24"/>
          <w:szCs w:val="24"/>
        </w:rPr>
        <w:t>s</w:t>
      </w:r>
      <w:r w:rsidRPr="001E628C">
        <w:rPr>
          <w:sz w:val="24"/>
          <w:szCs w:val="24"/>
        </w:rPr>
        <w:t xml:space="preserve">" is defined as any practice or treatment that seeks to change an individual's sexual orientation or gender identity, including efforts to change behaviors or gender expressions or to eliminate or reduce sexual or romantic attractions or feelings toward individuals of </w:t>
      </w:r>
      <w:r w:rsidR="00566866">
        <w:rPr>
          <w:sz w:val="24"/>
          <w:szCs w:val="24"/>
        </w:rPr>
        <w:t xml:space="preserve">the </w:t>
      </w:r>
      <w:r w:rsidR="005F1D29">
        <w:rPr>
          <w:sz w:val="24"/>
          <w:szCs w:val="24"/>
        </w:rPr>
        <w:t xml:space="preserve">any </w:t>
      </w:r>
      <w:r w:rsidRPr="001E628C">
        <w:rPr>
          <w:sz w:val="24"/>
          <w:szCs w:val="24"/>
        </w:rPr>
        <w:t xml:space="preserve">gender. </w:t>
      </w:r>
      <w:proofErr w:type="gramStart"/>
      <w:r w:rsidRPr="001E628C">
        <w:rPr>
          <w:sz w:val="24"/>
          <w:szCs w:val="24"/>
        </w:rPr>
        <w:t>"Conversion</w:t>
      </w:r>
      <w:r w:rsidR="00BC1DF6">
        <w:rPr>
          <w:sz w:val="24"/>
          <w:szCs w:val="24"/>
        </w:rPr>
        <w:t xml:space="preserve"> therapy</w:t>
      </w:r>
      <w:r w:rsidRPr="001E628C">
        <w:rPr>
          <w:sz w:val="24"/>
          <w:szCs w:val="24"/>
        </w:rPr>
        <w:t xml:space="preserve">" does </w:t>
      </w:r>
      <w:r w:rsidRPr="001E628C">
        <w:rPr>
          <w:sz w:val="24"/>
          <w:szCs w:val="24"/>
          <w:u w:val="single"/>
        </w:rPr>
        <w:t>not</w:t>
      </w:r>
      <w:r w:rsidRPr="001E628C">
        <w:rPr>
          <w:sz w:val="24"/>
          <w:szCs w:val="24"/>
        </w:rPr>
        <w:t xml:space="preserve">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w:t>
      </w:r>
      <w:r w:rsidR="005F1D29">
        <w:rPr>
          <w:sz w:val="24"/>
          <w:szCs w:val="24"/>
        </w:rPr>
        <w:t xml:space="preserve"> in any direction</w:t>
      </w:r>
      <w:r w:rsidRPr="001E628C">
        <w:rPr>
          <w:sz w:val="24"/>
          <w:szCs w:val="24"/>
        </w:rPr>
        <w:t>.</w:t>
      </w:r>
      <w:proofErr w:type="gramEnd"/>
      <w:r w:rsidRPr="001E628C">
        <w:rPr>
          <w:sz w:val="24"/>
          <w:szCs w:val="24"/>
        </w:rPr>
        <w:t xml:space="preserve"> </w:t>
      </w:r>
    </w:p>
    <w:p w:rsidR="001E628C" w:rsidRPr="001E628C" w:rsidRDefault="001E628C" w:rsidP="001E628C">
      <w:pPr>
        <w:rPr>
          <w:sz w:val="24"/>
          <w:szCs w:val="24"/>
        </w:rPr>
      </w:pPr>
    </w:p>
    <w:p w:rsidR="001E628C" w:rsidRPr="00566866" w:rsidRDefault="001E628C" w:rsidP="001E628C">
      <w:pPr>
        <w:pStyle w:val="sectind"/>
        <w:spacing w:after="0"/>
        <w:rPr>
          <w:i/>
        </w:rPr>
      </w:pPr>
      <w:r w:rsidRPr="001E628C">
        <w:t xml:space="preserve">In </w:t>
      </w:r>
      <w:r>
        <w:t>1</w:t>
      </w:r>
      <w:r w:rsidR="00566866">
        <w:t>8VAC11</w:t>
      </w:r>
      <w:r w:rsidRPr="001E628C">
        <w:t>5-20-1</w:t>
      </w:r>
      <w:r w:rsidR="00566866">
        <w:t>3</w:t>
      </w:r>
      <w:r w:rsidRPr="001E628C">
        <w:t xml:space="preserve">0 of </w:t>
      </w:r>
      <w:r w:rsidR="00BC1DF6">
        <w:t xml:space="preserve">the </w:t>
      </w:r>
      <w:r w:rsidRPr="00F00E0A">
        <w:rPr>
          <w:i/>
        </w:rPr>
        <w:t>Regulations Governing the Practice of</w:t>
      </w:r>
      <w:r w:rsidR="00566866" w:rsidRPr="00F00E0A">
        <w:rPr>
          <w:i/>
        </w:rPr>
        <w:t xml:space="preserve"> Counseling</w:t>
      </w:r>
      <w:r w:rsidRPr="001E628C">
        <w:t xml:space="preserve">, the </w:t>
      </w:r>
      <w:r w:rsidR="00AA2918">
        <w:t xml:space="preserve">Virginia </w:t>
      </w:r>
      <w:r w:rsidRPr="001E628C">
        <w:t xml:space="preserve">Board </w:t>
      </w:r>
      <w:r w:rsidR="00AA2918">
        <w:t xml:space="preserve">of Counseling (“Board”) </w:t>
      </w:r>
      <w:r w:rsidR="00566866">
        <w:t xml:space="preserve">has stated </w:t>
      </w:r>
      <w:proofErr w:type="gramStart"/>
      <w:r w:rsidR="00566866">
        <w:t>that:</w:t>
      </w:r>
      <w:proofErr w:type="gramEnd"/>
      <w:r w:rsidR="00566866">
        <w:t xml:space="preserve"> </w:t>
      </w:r>
      <w:r w:rsidR="001B410E">
        <w:t>“</w:t>
      </w:r>
      <w:r w:rsidR="00566866" w:rsidRPr="00F00E0A">
        <w:rPr>
          <w:rFonts w:ascii="Times" w:hAnsi="Times"/>
          <w:color w:val="000000" w:themeColor="text1"/>
        </w:rPr>
        <w:t>The protection of the public health, safety, and welfare and the best interest of the public shall be the primary guide in determining the appropriate professional conduct of all persons whose activities are regulated by the board. Regardless of the delivery method, whether in person, by phone, or electronically, these standards shall apply to the practice of counseling</w:t>
      </w:r>
      <w:r w:rsidRPr="00F00E0A">
        <w:rPr>
          <w:color w:val="000000" w:themeColor="text1"/>
        </w:rPr>
        <w:t>.</w:t>
      </w:r>
      <w:r w:rsidR="001B410E">
        <w:t>”</w:t>
      </w:r>
      <w:r w:rsidRPr="00566866">
        <w:rPr>
          <w:i/>
        </w:rPr>
        <w:t xml:space="preserve"> </w:t>
      </w:r>
    </w:p>
    <w:p w:rsidR="008E4FA4" w:rsidRDefault="008E4FA4" w:rsidP="001E628C">
      <w:pPr>
        <w:pStyle w:val="sectind"/>
        <w:spacing w:after="0"/>
      </w:pPr>
    </w:p>
    <w:p w:rsidR="001E628C" w:rsidRPr="00AB3FA9" w:rsidRDefault="008E4FA4" w:rsidP="001E628C">
      <w:pPr>
        <w:pStyle w:val="sectind"/>
        <w:spacing w:after="0"/>
      </w:pPr>
      <w:r w:rsidRPr="00AB3FA9">
        <w:t>One of the standards of practice established in regulation is that p</w:t>
      </w:r>
      <w:r w:rsidR="005F1D29">
        <w:t xml:space="preserve">ersons licensed, certified </w:t>
      </w:r>
      <w:r w:rsidR="00AB3FA9" w:rsidRPr="00AB3FA9">
        <w:t>or registered</w:t>
      </w:r>
      <w:r w:rsidR="001E628C" w:rsidRPr="00AB3FA9">
        <w:t xml:space="preserve"> by the </w:t>
      </w:r>
      <w:r w:rsidR="00AA2918">
        <w:t>B</w:t>
      </w:r>
      <w:r w:rsidR="001E628C" w:rsidRPr="00AB3FA9">
        <w:t xml:space="preserve">oard shall: </w:t>
      </w:r>
    </w:p>
    <w:p w:rsidR="001E628C" w:rsidRPr="00AB3FA9" w:rsidRDefault="001E628C" w:rsidP="001E628C">
      <w:pPr>
        <w:rPr>
          <w:sz w:val="24"/>
          <w:szCs w:val="24"/>
        </w:rPr>
      </w:pPr>
    </w:p>
    <w:p w:rsidR="001633A2" w:rsidRPr="00566866" w:rsidRDefault="001E628C" w:rsidP="001E628C">
      <w:pPr>
        <w:rPr>
          <w:color w:val="000000" w:themeColor="text1"/>
          <w:sz w:val="24"/>
          <w:szCs w:val="24"/>
        </w:rPr>
      </w:pPr>
      <w:r w:rsidRPr="00AB3FA9">
        <w:rPr>
          <w:sz w:val="24"/>
          <w:szCs w:val="24"/>
        </w:rPr>
        <w:t>"</w:t>
      </w:r>
      <w:r w:rsidR="00566866" w:rsidRPr="00566866">
        <w:rPr>
          <w:i/>
          <w:color w:val="000000" w:themeColor="text1"/>
          <w:sz w:val="24"/>
          <w:szCs w:val="24"/>
        </w:rPr>
        <w:t>Practice in a manner that is in the best interest of the public and does not endanger the public health, safety, or welfare</w:t>
      </w:r>
      <w:r w:rsidRPr="00566866">
        <w:rPr>
          <w:color w:val="000000" w:themeColor="text1"/>
          <w:sz w:val="24"/>
          <w:szCs w:val="24"/>
        </w:rPr>
        <w:t>"</w:t>
      </w:r>
    </w:p>
    <w:p w:rsidR="00AB3FA9" w:rsidRDefault="00AB3FA9" w:rsidP="001E628C">
      <w:pPr>
        <w:rPr>
          <w:sz w:val="24"/>
          <w:szCs w:val="24"/>
        </w:rPr>
      </w:pPr>
    </w:p>
    <w:p w:rsidR="00566866" w:rsidRDefault="00AA2918" w:rsidP="001E628C">
      <w:pPr>
        <w:rPr>
          <w:sz w:val="24"/>
          <w:szCs w:val="24"/>
        </w:rPr>
      </w:pPr>
      <w:r w:rsidRPr="00F00E0A">
        <w:rPr>
          <w:i/>
          <w:sz w:val="24"/>
          <w:szCs w:val="24"/>
        </w:rPr>
        <w:t>See</w:t>
      </w:r>
      <w:r>
        <w:rPr>
          <w:sz w:val="24"/>
          <w:szCs w:val="24"/>
        </w:rPr>
        <w:t xml:space="preserve"> 18VAC115-20-130(B)(1) of the </w:t>
      </w:r>
      <w:r w:rsidRPr="00F00E0A">
        <w:rPr>
          <w:i/>
          <w:sz w:val="24"/>
          <w:szCs w:val="24"/>
        </w:rPr>
        <w:t>Regulations Governing the Practice of Counseling</w:t>
      </w:r>
      <w:r>
        <w:rPr>
          <w:sz w:val="24"/>
          <w:szCs w:val="24"/>
        </w:rPr>
        <w:t>; 18VAC</w:t>
      </w:r>
      <w:r w:rsidR="002B0DC7">
        <w:rPr>
          <w:sz w:val="24"/>
          <w:szCs w:val="24"/>
        </w:rPr>
        <w:t xml:space="preserve">115-30-140(B)(1) of the </w:t>
      </w:r>
      <w:r w:rsidR="002B0DC7" w:rsidRPr="00F00E0A">
        <w:rPr>
          <w:i/>
          <w:sz w:val="24"/>
          <w:szCs w:val="24"/>
        </w:rPr>
        <w:t>Regulations Governing the Certification of Substance Abuse Counselors and Substance Abuse Counseling Assistants</w:t>
      </w:r>
      <w:r w:rsidR="002B0DC7">
        <w:rPr>
          <w:sz w:val="24"/>
          <w:szCs w:val="24"/>
        </w:rPr>
        <w:t xml:space="preserve">; 18VAC115-50-110(B)(1) of the </w:t>
      </w:r>
      <w:r w:rsidR="002B0DC7" w:rsidRPr="00F00E0A">
        <w:rPr>
          <w:i/>
          <w:sz w:val="24"/>
          <w:szCs w:val="24"/>
        </w:rPr>
        <w:t>Regulations Governing the Practice of Marriage and Family Therapy</w:t>
      </w:r>
      <w:r w:rsidR="002B0DC7">
        <w:rPr>
          <w:sz w:val="24"/>
          <w:szCs w:val="24"/>
        </w:rPr>
        <w:t xml:space="preserve">; and 18VAC15-60-130(B)(1) of the </w:t>
      </w:r>
      <w:r w:rsidR="002B0DC7" w:rsidRPr="00F00E0A">
        <w:rPr>
          <w:i/>
          <w:sz w:val="24"/>
          <w:szCs w:val="24"/>
        </w:rPr>
        <w:t>Regulations</w:t>
      </w:r>
      <w:r w:rsidR="007478AF" w:rsidRPr="00F00E0A">
        <w:rPr>
          <w:i/>
          <w:sz w:val="24"/>
          <w:szCs w:val="24"/>
        </w:rPr>
        <w:t xml:space="preserve"> Governing the Practice of Licensed Substance Abuse Treatment Practitioners</w:t>
      </w:r>
      <w:r w:rsidR="007478AF">
        <w:rPr>
          <w:sz w:val="24"/>
          <w:szCs w:val="24"/>
        </w:rPr>
        <w:t>.</w:t>
      </w:r>
    </w:p>
    <w:p w:rsidR="00566866" w:rsidRPr="00AB3FA9" w:rsidRDefault="00566866" w:rsidP="001E628C">
      <w:pPr>
        <w:rPr>
          <w:sz w:val="24"/>
          <w:szCs w:val="24"/>
        </w:rPr>
      </w:pPr>
    </w:p>
    <w:p w:rsidR="00566866" w:rsidRDefault="00AB3FA9" w:rsidP="00566866">
      <w:pPr>
        <w:rPr>
          <w:color w:val="000000" w:themeColor="text1"/>
          <w:sz w:val="24"/>
          <w:szCs w:val="24"/>
        </w:rPr>
      </w:pPr>
      <w:r w:rsidRPr="00AB3FA9">
        <w:rPr>
          <w:sz w:val="24"/>
          <w:szCs w:val="24"/>
        </w:rPr>
        <w:t xml:space="preserve">Many national behavioral health and medical associations have issued position and policy statements regarding conversion therapy/sexual orientation change efforts, especially with minors. </w:t>
      </w:r>
      <w:r w:rsidR="001B410E">
        <w:rPr>
          <w:sz w:val="24"/>
          <w:szCs w:val="24"/>
        </w:rPr>
        <w:t xml:space="preserve">Such statements have typically noted that conversion therapy </w:t>
      </w:r>
      <w:proofErr w:type="gramStart"/>
      <w:r w:rsidR="001B410E">
        <w:rPr>
          <w:sz w:val="24"/>
          <w:szCs w:val="24"/>
        </w:rPr>
        <w:t>has not been shown</w:t>
      </w:r>
      <w:proofErr w:type="gramEnd"/>
      <w:r w:rsidR="001B410E">
        <w:rPr>
          <w:sz w:val="24"/>
          <w:szCs w:val="24"/>
        </w:rPr>
        <w:t xml:space="preserve"> to be effective or safe.  </w:t>
      </w:r>
      <w:r w:rsidR="00566866" w:rsidRPr="00566866">
        <w:rPr>
          <w:color w:val="000000" w:themeColor="text1"/>
          <w:sz w:val="24"/>
          <w:szCs w:val="24"/>
        </w:rPr>
        <w:t>The American Counseling Association</w:t>
      </w:r>
      <w:r w:rsidR="005F1D29">
        <w:rPr>
          <w:color w:val="000000" w:themeColor="text1"/>
          <w:sz w:val="24"/>
          <w:szCs w:val="24"/>
        </w:rPr>
        <w:t xml:space="preserve"> (ACA)</w:t>
      </w:r>
      <w:r w:rsidR="00566866" w:rsidRPr="00566866">
        <w:rPr>
          <w:color w:val="000000" w:themeColor="text1"/>
          <w:sz w:val="24"/>
          <w:szCs w:val="24"/>
        </w:rPr>
        <w:t xml:space="preserve"> opposes conversion therapy because </w:t>
      </w:r>
      <w:r w:rsidR="00566866">
        <w:rPr>
          <w:color w:val="000000" w:themeColor="text1"/>
          <w:sz w:val="24"/>
          <w:szCs w:val="24"/>
        </w:rPr>
        <w:t>“</w:t>
      </w:r>
      <w:r w:rsidR="00566866" w:rsidRPr="00566866">
        <w:rPr>
          <w:color w:val="000000" w:themeColor="text1"/>
          <w:sz w:val="24"/>
          <w:szCs w:val="24"/>
        </w:rPr>
        <w:t>it does not work, can cause harm, and violates our Code of Ethics.  ACA will continue to support state legislation that bans this discredited practice.</w:t>
      </w:r>
      <w:r w:rsidR="00566866">
        <w:rPr>
          <w:color w:val="000000" w:themeColor="text1"/>
          <w:sz w:val="24"/>
          <w:szCs w:val="24"/>
        </w:rPr>
        <w:t>”</w:t>
      </w:r>
    </w:p>
    <w:p w:rsidR="00566866" w:rsidRPr="00566866" w:rsidRDefault="00566866" w:rsidP="00566866">
      <w:pPr>
        <w:rPr>
          <w:color w:val="000000" w:themeColor="text1"/>
          <w:sz w:val="24"/>
          <w:szCs w:val="24"/>
        </w:rPr>
      </w:pPr>
    </w:p>
    <w:p w:rsidR="00566866" w:rsidRDefault="00566866" w:rsidP="00566866">
      <w:pPr>
        <w:rPr>
          <w:rFonts w:eastAsia="Times New Roman"/>
          <w:color w:val="000000" w:themeColor="text1"/>
          <w:sz w:val="24"/>
          <w:szCs w:val="24"/>
        </w:rPr>
      </w:pPr>
      <w:r w:rsidRPr="00566866">
        <w:rPr>
          <w:rFonts w:eastAsia="Times New Roman"/>
          <w:color w:val="000000" w:themeColor="text1"/>
          <w:sz w:val="24"/>
          <w:szCs w:val="24"/>
        </w:rPr>
        <w:t xml:space="preserve">The </w:t>
      </w:r>
      <w:r w:rsidR="0042735E">
        <w:rPr>
          <w:rFonts w:eastAsia="Times New Roman"/>
          <w:color w:val="000000" w:themeColor="text1"/>
          <w:sz w:val="24"/>
          <w:szCs w:val="24"/>
        </w:rPr>
        <w:t xml:space="preserve">consensus opinion of the </w:t>
      </w:r>
      <w:r w:rsidRPr="00566866">
        <w:rPr>
          <w:rFonts w:eastAsia="Times New Roman"/>
          <w:color w:val="000000" w:themeColor="text1"/>
          <w:sz w:val="24"/>
          <w:szCs w:val="24"/>
        </w:rPr>
        <w:t xml:space="preserve">ACA Ethics Committee </w:t>
      </w:r>
      <w:r w:rsidR="0042735E">
        <w:rPr>
          <w:rFonts w:eastAsia="Times New Roman"/>
          <w:color w:val="000000" w:themeColor="text1"/>
          <w:sz w:val="24"/>
          <w:szCs w:val="24"/>
        </w:rPr>
        <w:t xml:space="preserve">is that </w:t>
      </w:r>
      <w:r w:rsidRPr="00566866">
        <w:rPr>
          <w:rFonts w:eastAsia="Times New Roman"/>
          <w:color w:val="000000" w:themeColor="text1"/>
          <w:sz w:val="24"/>
          <w:szCs w:val="24"/>
        </w:rPr>
        <w:t xml:space="preserve">the basic goal of reparative/conversion therapy is to change an individual's sexual orientation from homosexual to heterosexual. </w:t>
      </w:r>
      <w:r w:rsidR="0042735E">
        <w:rPr>
          <w:rFonts w:eastAsia="Times New Roman"/>
          <w:color w:val="000000" w:themeColor="text1"/>
          <w:sz w:val="24"/>
          <w:szCs w:val="24"/>
        </w:rPr>
        <w:t>The ACA Ethics Committee states that c</w:t>
      </w:r>
      <w:r w:rsidRPr="00566866">
        <w:rPr>
          <w:rFonts w:eastAsia="Times New Roman"/>
          <w:color w:val="000000" w:themeColor="text1"/>
          <w:sz w:val="24"/>
          <w:szCs w:val="24"/>
        </w:rPr>
        <w:t xml:space="preserve">ounselors who conduct this type of </w:t>
      </w:r>
      <w:r w:rsidRPr="00566866">
        <w:rPr>
          <w:rFonts w:eastAsia="Times New Roman"/>
          <w:color w:val="000000" w:themeColor="text1"/>
          <w:sz w:val="24"/>
          <w:szCs w:val="24"/>
        </w:rPr>
        <w:lastRenderedPageBreak/>
        <w:t xml:space="preserve">therapy view same-sex attractions and behaviors as abnormal and unnatural and, therefore, in need of "curing." The belief that same-sex attraction and behavior is abnormal and in need of treatment is in opposition to the position taken by national mental health organizations, including </w:t>
      </w:r>
      <w:r w:rsidR="0042735E">
        <w:rPr>
          <w:rFonts w:eastAsia="Times New Roman"/>
          <w:color w:val="000000" w:themeColor="text1"/>
          <w:sz w:val="24"/>
          <w:szCs w:val="24"/>
        </w:rPr>
        <w:t xml:space="preserve">the </w:t>
      </w:r>
      <w:r w:rsidRPr="00566866">
        <w:rPr>
          <w:rFonts w:eastAsia="Times New Roman"/>
          <w:color w:val="000000" w:themeColor="text1"/>
          <w:sz w:val="24"/>
          <w:szCs w:val="24"/>
        </w:rPr>
        <w:t>ACA.</w:t>
      </w:r>
    </w:p>
    <w:p w:rsidR="00566866" w:rsidRPr="003D2490" w:rsidRDefault="00566866" w:rsidP="00566866">
      <w:pPr>
        <w:rPr>
          <w:rFonts w:eastAsia="Times New Roman"/>
          <w:color w:val="000000" w:themeColor="text1"/>
          <w:sz w:val="24"/>
          <w:szCs w:val="24"/>
        </w:rPr>
      </w:pPr>
    </w:p>
    <w:p w:rsidR="003D2490" w:rsidRPr="00AB3FA9" w:rsidRDefault="002A3BC6" w:rsidP="003D2490">
      <w:pPr>
        <w:rPr>
          <w:sz w:val="24"/>
          <w:szCs w:val="24"/>
        </w:rPr>
      </w:pPr>
      <w:r>
        <w:rPr>
          <w:sz w:val="24"/>
          <w:szCs w:val="24"/>
        </w:rPr>
        <w:t>Consistent with the established position of the ACA, the Board considers “conversion therapy” or “sexual orientation change efforts”</w:t>
      </w:r>
      <w:r w:rsidR="00DF461D">
        <w:rPr>
          <w:sz w:val="24"/>
          <w:szCs w:val="24"/>
        </w:rPr>
        <w:t xml:space="preserve"> (as defined above) to be services that have the potential to harm patients or clients, especially minors.  Thus, under regulations governing practitioners licensed, certified, or registered by the Board, practicing conversion therapy/sexual orientation change efforts with minors could result in a finding of misconduct and disciplinary action against the </w:t>
      </w:r>
      <w:r w:rsidR="00C244B6">
        <w:rPr>
          <w:sz w:val="24"/>
          <w:szCs w:val="24"/>
        </w:rPr>
        <w:t>licensee, certificate holder, or registrant.</w:t>
      </w:r>
    </w:p>
    <w:p w:rsidR="003D2490" w:rsidRPr="003D2490" w:rsidRDefault="003D2490" w:rsidP="003D2490">
      <w:pPr>
        <w:rPr>
          <w:rFonts w:eastAsia="Times New Roman"/>
          <w:color w:val="000000" w:themeColor="text1"/>
          <w:sz w:val="24"/>
          <w:szCs w:val="24"/>
        </w:rPr>
      </w:pPr>
    </w:p>
    <w:p w:rsidR="00566866" w:rsidRPr="003D2490" w:rsidRDefault="00566866" w:rsidP="00566866">
      <w:pPr>
        <w:rPr>
          <w:rFonts w:eastAsia="Times New Roman"/>
          <w:color w:val="000000" w:themeColor="text1"/>
          <w:sz w:val="24"/>
          <w:szCs w:val="24"/>
        </w:rPr>
      </w:pPr>
    </w:p>
    <w:p w:rsidR="00566866" w:rsidRPr="003D2490" w:rsidRDefault="00566866" w:rsidP="00566866">
      <w:pPr>
        <w:rPr>
          <w:color w:val="000000" w:themeColor="text1"/>
        </w:rPr>
      </w:pPr>
    </w:p>
    <w:p w:rsidR="008E4FA4" w:rsidRPr="003D2490" w:rsidRDefault="008E4FA4" w:rsidP="001E628C">
      <w:pPr>
        <w:rPr>
          <w:color w:val="000000" w:themeColor="text1"/>
          <w:sz w:val="24"/>
          <w:szCs w:val="24"/>
        </w:rPr>
      </w:pPr>
    </w:p>
    <w:sectPr w:rsidR="008E4FA4" w:rsidRPr="003D24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A9" w:rsidRDefault="00AB3FA9" w:rsidP="00AB3FA9">
      <w:r>
        <w:separator/>
      </w:r>
    </w:p>
  </w:endnote>
  <w:endnote w:type="continuationSeparator" w:id="0">
    <w:p w:rsidR="00AB3FA9" w:rsidRDefault="00AB3FA9" w:rsidP="00AB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A9" w:rsidRDefault="00AB3FA9" w:rsidP="00AB3FA9">
      <w:r>
        <w:separator/>
      </w:r>
    </w:p>
  </w:footnote>
  <w:footnote w:type="continuationSeparator" w:id="0">
    <w:p w:rsidR="00AB3FA9" w:rsidRDefault="00AB3FA9" w:rsidP="00AB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FF" w:rsidRDefault="003609FF">
    <w:pPr>
      <w:pStyle w:val="Header"/>
    </w:pPr>
    <w:r>
      <w:t>Guidance document: 1</w:t>
    </w:r>
    <w:r w:rsidR="00566866">
      <w:t>15-10</w:t>
    </w:r>
    <w:r>
      <w:tab/>
    </w:r>
    <w:r>
      <w:tab/>
      <w:t xml:space="preserve">Adopted: </w:t>
    </w:r>
    <w:r w:rsidR="005F1D29">
      <w:t>February 8, 2019</w:t>
    </w:r>
  </w:p>
  <w:p w:rsidR="0078318E" w:rsidRDefault="0078318E">
    <w:pPr>
      <w:pStyle w:val="Header"/>
    </w:pPr>
    <w:r>
      <w:tab/>
    </w:r>
    <w:r>
      <w:tab/>
      <w:t xml:space="preserve">Effective:  </w:t>
    </w:r>
    <w:r w:rsidR="001669B0">
      <w:t>June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8C"/>
    <w:rsid w:val="00062564"/>
    <w:rsid w:val="00106D4D"/>
    <w:rsid w:val="00152C29"/>
    <w:rsid w:val="001669B0"/>
    <w:rsid w:val="001B410E"/>
    <w:rsid w:val="001E628C"/>
    <w:rsid w:val="00203991"/>
    <w:rsid w:val="00243E93"/>
    <w:rsid w:val="002A3BC6"/>
    <w:rsid w:val="002B0DC7"/>
    <w:rsid w:val="002D77CE"/>
    <w:rsid w:val="00310874"/>
    <w:rsid w:val="003609FF"/>
    <w:rsid w:val="003B5EFC"/>
    <w:rsid w:val="003D2490"/>
    <w:rsid w:val="0042735E"/>
    <w:rsid w:val="00461B51"/>
    <w:rsid w:val="00566866"/>
    <w:rsid w:val="005F1D29"/>
    <w:rsid w:val="007478AF"/>
    <w:rsid w:val="0078318E"/>
    <w:rsid w:val="00863726"/>
    <w:rsid w:val="008E4FA4"/>
    <w:rsid w:val="009532C1"/>
    <w:rsid w:val="00AA2918"/>
    <w:rsid w:val="00AB3FA9"/>
    <w:rsid w:val="00BC1DF6"/>
    <w:rsid w:val="00C244B6"/>
    <w:rsid w:val="00DF461D"/>
    <w:rsid w:val="00F00E0A"/>
    <w:rsid w:val="00FD6661"/>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D4CD5B-66EC-480E-A106-CFC367FC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nd">
    <w:name w:val="sectind"/>
    <w:basedOn w:val="Normal"/>
    <w:rsid w:val="001E628C"/>
    <w:pPr>
      <w:spacing w:after="192"/>
    </w:pPr>
    <w:rPr>
      <w:rFonts w:eastAsia="Times New Roman"/>
      <w:sz w:val="24"/>
      <w:szCs w:val="24"/>
    </w:rPr>
  </w:style>
  <w:style w:type="paragraph" w:styleId="EndnoteText">
    <w:name w:val="endnote text"/>
    <w:basedOn w:val="Normal"/>
    <w:link w:val="EndnoteTextChar"/>
    <w:uiPriority w:val="99"/>
    <w:semiHidden/>
    <w:unhideWhenUsed/>
    <w:rsid w:val="00AB3FA9"/>
  </w:style>
  <w:style w:type="character" w:customStyle="1" w:styleId="EndnoteTextChar">
    <w:name w:val="Endnote Text Char"/>
    <w:basedOn w:val="DefaultParagraphFont"/>
    <w:link w:val="EndnoteText"/>
    <w:uiPriority w:val="99"/>
    <w:semiHidden/>
    <w:rsid w:val="00AB3FA9"/>
  </w:style>
  <w:style w:type="character" w:styleId="EndnoteReference">
    <w:name w:val="endnote reference"/>
    <w:basedOn w:val="DefaultParagraphFont"/>
    <w:uiPriority w:val="99"/>
    <w:semiHidden/>
    <w:unhideWhenUsed/>
    <w:rsid w:val="00AB3FA9"/>
    <w:rPr>
      <w:vertAlign w:val="superscript"/>
    </w:rPr>
  </w:style>
  <w:style w:type="paragraph" w:styleId="Header">
    <w:name w:val="header"/>
    <w:basedOn w:val="Normal"/>
    <w:link w:val="HeaderChar"/>
    <w:uiPriority w:val="99"/>
    <w:unhideWhenUsed/>
    <w:rsid w:val="003609FF"/>
    <w:pPr>
      <w:tabs>
        <w:tab w:val="center" w:pos="4680"/>
        <w:tab w:val="right" w:pos="9360"/>
      </w:tabs>
    </w:pPr>
  </w:style>
  <w:style w:type="character" w:customStyle="1" w:styleId="HeaderChar">
    <w:name w:val="Header Char"/>
    <w:basedOn w:val="DefaultParagraphFont"/>
    <w:link w:val="Header"/>
    <w:uiPriority w:val="99"/>
    <w:rsid w:val="003609FF"/>
  </w:style>
  <w:style w:type="paragraph" w:styleId="Footer">
    <w:name w:val="footer"/>
    <w:basedOn w:val="Normal"/>
    <w:link w:val="FooterChar"/>
    <w:uiPriority w:val="99"/>
    <w:unhideWhenUsed/>
    <w:rsid w:val="003609FF"/>
    <w:pPr>
      <w:tabs>
        <w:tab w:val="center" w:pos="4680"/>
        <w:tab w:val="right" w:pos="9360"/>
      </w:tabs>
    </w:pPr>
  </w:style>
  <w:style w:type="character" w:customStyle="1" w:styleId="FooterChar">
    <w:name w:val="Footer Char"/>
    <w:basedOn w:val="DefaultParagraphFont"/>
    <w:link w:val="Footer"/>
    <w:uiPriority w:val="99"/>
    <w:rsid w:val="003609FF"/>
  </w:style>
  <w:style w:type="paragraph" w:styleId="BalloonText">
    <w:name w:val="Balloon Text"/>
    <w:basedOn w:val="Normal"/>
    <w:link w:val="BalloonTextChar"/>
    <w:uiPriority w:val="99"/>
    <w:semiHidden/>
    <w:unhideWhenUsed/>
    <w:rsid w:val="00AA2918"/>
    <w:rPr>
      <w:rFonts w:ascii="Tahoma" w:hAnsi="Tahoma" w:cs="Tahoma"/>
      <w:sz w:val="16"/>
      <w:szCs w:val="16"/>
    </w:rPr>
  </w:style>
  <w:style w:type="character" w:customStyle="1" w:styleId="BalloonTextChar">
    <w:name w:val="Balloon Text Char"/>
    <w:basedOn w:val="DefaultParagraphFont"/>
    <w:link w:val="BalloonText"/>
    <w:uiPriority w:val="99"/>
    <w:semiHidden/>
    <w:rsid w:val="00AA2918"/>
    <w:rPr>
      <w:rFonts w:ascii="Tahoma" w:hAnsi="Tahoma" w:cs="Tahoma"/>
      <w:sz w:val="16"/>
      <w:szCs w:val="16"/>
    </w:rPr>
  </w:style>
  <w:style w:type="paragraph" w:styleId="FootnoteText">
    <w:name w:val="footnote text"/>
    <w:basedOn w:val="Normal"/>
    <w:link w:val="FootnoteTextChar"/>
    <w:uiPriority w:val="99"/>
    <w:semiHidden/>
    <w:unhideWhenUsed/>
    <w:rsid w:val="00863726"/>
  </w:style>
  <w:style w:type="character" w:customStyle="1" w:styleId="FootnoteTextChar">
    <w:name w:val="Footnote Text Char"/>
    <w:basedOn w:val="DefaultParagraphFont"/>
    <w:link w:val="FootnoteText"/>
    <w:uiPriority w:val="99"/>
    <w:semiHidden/>
    <w:rsid w:val="00863726"/>
  </w:style>
  <w:style w:type="character" w:styleId="FootnoteReference">
    <w:name w:val="footnote reference"/>
    <w:basedOn w:val="DefaultParagraphFont"/>
    <w:uiPriority w:val="99"/>
    <w:semiHidden/>
    <w:unhideWhenUsed/>
    <w:rsid w:val="00863726"/>
    <w:rPr>
      <w:vertAlign w:val="superscript"/>
    </w:rPr>
  </w:style>
  <w:style w:type="character" w:styleId="CommentReference">
    <w:name w:val="annotation reference"/>
    <w:basedOn w:val="DefaultParagraphFont"/>
    <w:uiPriority w:val="99"/>
    <w:semiHidden/>
    <w:unhideWhenUsed/>
    <w:rsid w:val="00203991"/>
    <w:rPr>
      <w:sz w:val="16"/>
      <w:szCs w:val="16"/>
    </w:rPr>
  </w:style>
  <w:style w:type="paragraph" w:styleId="CommentText">
    <w:name w:val="annotation text"/>
    <w:basedOn w:val="Normal"/>
    <w:link w:val="CommentTextChar"/>
    <w:uiPriority w:val="99"/>
    <w:semiHidden/>
    <w:unhideWhenUsed/>
    <w:rsid w:val="00203991"/>
  </w:style>
  <w:style w:type="character" w:customStyle="1" w:styleId="CommentTextChar">
    <w:name w:val="Comment Text Char"/>
    <w:basedOn w:val="DefaultParagraphFont"/>
    <w:link w:val="CommentText"/>
    <w:uiPriority w:val="99"/>
    <w:semiHidden/>
    <w:rsid w:val="00203991"/>
  </w:style>
  <w:style w:type="paragraph" w:styleId="CommentSubject">
    <w:name w:val="annotation subject"/>
    <w:basedOn w:val="CommentText"/>
    <w:next w:val="CommentText"/>
    <w:link w:val="CommentSubjectChar"/>
    <w:uiPriority w:val="99"/>
    <w:semiHidden/>
    <w:unhideWhenUsed/>
    <w:rsid w:val="00203991"/>
    <w:rPr>
      <w:b/>
      <w:bCs/>
    </w:rPr>
  </w:style>
  <w:style w:type="character" w:customStyle="1" w:styleId="CommentSubjectChar">
    <w:name w:val="Comment Subject Char"/>
    <w:basedOn w:val="CommentTextChar"/>
    <w:link w:val="CommentSubject"/>
    <w:uiPriority w:val="99"/>
    <w:semiHidden/>
    <w:rsid w:val="00203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743448">
      <w:bodyDiv w:val="1"/>
      <w:marLeft w:val="0"/>
      <w:marRight w:val="0"/>
      <w:marTop w:val="0"/>
      <w:marBottom w:val="0"/>
      <w:divBdr>
        <w:top w:val="none" w:sz="0" w:space="0" w:color="auto"/>
        <w:left w:val="none" w:sz="0" w:space="0" w:color="auto"/>
        <w:bottom w:val="none" w:sz="0" w:space="0" w:color="auto"/>
        <w:right w:val="none" w:sz="0" w:space="0" w:color="auto"/>
      </w:divBdr>
      <w:divsChild>
        <w:div w:id="249437689">
          <w:marLeft w:val="0"/>
          <w:marRight w:val="0"/>
          <w:marTop w:val="0"/>
          <w:marBottom w:val="0"/>
          <w:divBdr>
            <w:top w:val="none" w:sz="0" w:space="0" w:color="auto"/>
            <w:left w:val="none" w:sz="0" w:space="0" w:color="auto"/>
            <w:bottom w:val="none" w:sz="0" w:space="0" w:color="auto"/>
            <w:right w:val="none" w:sz="0" w:space="0" w:color="auto"/>
          </w:divBdr>
          <w:divsChild>
            <w:div w:id="86269265">
              <w:marLeft w:val="0"/>
              <w:marRight w:val="0"/>
              <w:marTop w:val="0"/>
              <w:marBottom w:val="120"/>
              <w:divBdr>
                <w:top w:val="none" w:sz="0" w:space="0" w:color="auto"/>
                <w:left w:val="none" w:sz="0" w:space="0" w:color="auto"/>
                <w:bottom w:val="none" w:sz="0" w:space="0" w:color="auto"/>
                <w:right w:val="none" w:sz="0" w:space="0" w:color="auto"/>
              </w:divBdr>
              <w:divsChild>
                <w:div w:id="365644285">
                  <w:marLeft w:val="0"/>
                  <w:marRight w:val="0"/>
                  <w:marTop w:val="0"/>
                  <w:marBottom w:val="0"/>
                  <w:divBdr>
                    <w:top w:val="none" w:sz="0" w:space="0" w:color="auto"/>
                    <w:left w:val="none" w:sz="0" w:space="0" w:color="auto"/>
                    <w:bottom w:val="none" w:sz="0" w:space="0" w:color="auto"/>
                    <w:right w:val="none" w:sz="0" w:space="0" w:color="auto"/>
                  </w:divBdr>
                  <w:divsChild>
                    <w:div w:id="12937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A772-981C-49EA-9EF4-A58CF577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Yeatts, Elaine J. (DHP)</dc:creator>
  <cp:keywords/>
  <dc:description/>
  <cp:lastModifiedBy>VITA Program</cp:lastModifiedBy>
  <cp:revision>2</cp:revision>
  <cp:lastPrinted>2019-02-21T18:48:00Z</cp:lastPrinted>
  <dcterms:created xsi:type="dcterms:W3CDTF">2019-07-02T16:56:00Z</dcterms:created>
  <dcterms:modified xsi:type="dcterms:W3CDTF">2019-07-02T16:56:00Z</dcterms:modified>
</cp:coreProperties>
</file>