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1F" w:rsidRPr="004D7731" w:rsidRDefault="00620F1F" w:rsidP="00620F1F">
      <w:pPr>
        <w:jc w:val="center"/>
        <w:rPr>
          <w:rFonts w:ascii="Times New Roman" w:hAnsi="Times New Roman" w:cs="Times New Roman"/>
          <w:b/>
          <w:sz w:val="28"/>
          <w:szCs w:val="24"/>
        </w:rPr>
      </w:pPr>
      <w:r w:rsidRPr="004D7731">
        <w:rPr>
          <w:rFonts w:ascii="Times New Roman" w:hAnsi="Times New Roman" w:cs="Times New Roman"/>
          <w:b/>
          <w:sz w:val="28"/>
          <w:szCs w:val="24"/>
        </w:rPr>
        <w:t>Board of Physical Therapy</w:t>
      </w:r>
    </w:p>
    <w:p w:rsidR="00620F1F" w:rsidRPr="004D7731" w:rsidRDefault="00620F1F" w:rsidP="004D7731">
      <w:pPr>
        <w:jc w:val="center"/>
        <w:rPr>
          <w:rFonts w:ascii="Times New Roman" w:hAnsi="Times New Roman" w:cs="Times New Roman"/>
          <w:b/>
          <w:sz w:val="28"/>
          <w:szCs w:val="24"/>
        </w:rPr>
      </w:pPr>
      <w:bookmarkStart w:id="0" w:name="_GoBack"/>
      <w:r w:rsidRPr="004D7731">
        <w:rPr>
          <w:rFonts w:ascii="Times New Roman" w:hAnsi="Times New Roman" w:cs="Times New Roman"/>
          <w:b/>
          <w:sz w:val="28"/>
          <w:szCs w:val="24"/>
        </w:rPr>
        <w:t xml:space="preserve">Board Guidance on </w:t>
      </w:r>
      <w:r w:rsidR="0012616E" w:rsidRPr="0012616E">
        <w:rPr>
          <w:rFonts w:ascii="Times New Roman" w:hAnsi="Times New Roman" w:cs="Times New Roman"/>
          <w:b/>
          <w:sz w:val="28"/>
          <w:szCs w:val="24"/>
        </w:rPr>
        <w:t xml:space="preserve">Credentialing </w:t>
      </w:r>
      <w:r w:rsidR="00C26E7F">
        <w:rPr>
          <w:rFonts w:ascii="Times New Roman" w:hAnsi="Times New Roman" w:cs="Times New Roman"/>
          <w:b/>
          <w:sz w:val="28"/>
          <w:szCs w:val="24"/>
        </w:rPr>
        <w:t xml:space="preserve">and TOEFL </w:t>
      </w:r>
      <w:r w:rsidR="0012616E" w:rsidRPr="0012616E">
        <w:rPr>
          <w:rFonts w:ascii="Times New Roman" w:hAnsi="Times New Roman" w:cs="Times New Roman"/>
          <w:b/>
          <w:sz w:val="28"/>
          <w:szCs w:val="24"/>
        </w:rPr>
        <w:t>Requirements for Physical Therapy Graduates of Schools Not Approved by CAPTE</w:t>
      </w:r>
      <w:bookmarkEnd w:id="0"/>
    </w:p>
    <w:p w:rsidR="0012616E" w:rsidRDefault="0012616E" w:rsidP="005914D2">
      <w:pPr>
        <w:spacing w:after="0" w:line="240" w:lineRule="auto"/>
        <w:rPr>
          <w:rFonts w:ascii="Times New Roman" w:hAnsi="Times New Roman" w:cs="Times New Roman"/>
          <w:sz w:val="24"/>
          <w:szCs w:val="24"/>
        </w:rPr>
      </w:pPr>
    </w:p>
    <w:p w:rsidR="00E722B2" w:rsidRDefault="0012616E" w:rsidP="0012616E">
      <w:pPr>
        <w:rPr>
          <w:rFonts w:ascii="Times New Roman" w:hAnsi="Times New Roman" w:cs="Times New Roman"/>
          <w:sz w:val="24"/>
          <w:szCs w:val="24"/>
        </w:rPr>
      </w:pPr>
      <w:r>
        <w:rPr>
          <w:rFonts w:ascii="Times New Roman" w:hAnsi="Times New Roman" w:cs="Times New Roman"/>
          <w:sz w:val="24"/>
          <w:szCs w:val="24"/>
        </w:rPr>
        <w:t xml:space="preserve">Section </w:t>
      </w:r>
      <w:r w:rsidR="00C85E9E" w:rsidRPr="00E73AB9">
        <w:rPr>
          <w:rFonts w:ascii="Times New Roman" w:hAnsi="Times New Roman" w:cs="Times New Roman"/>
          <w:sz w:val="24"/>
          <w:szCs w:val="24"/>
        </w:rPr>
        <w:t>18VAC112-20-</w:t>
      </w:r>
      <w:r>
        <w:rPr>
          <w:rFonts w:ascii="Times New Roman" w:hAnsi="Times New Roman" w:cs="Times New Roman"/>
          <w:sz w:val="24"/>
          <w:szCs w:val="24"/>
        </w:rPr>
        <w:t>50</w:t>
      </w:r>
      <w:r w:rsidR="00671ED5">
        <w:rPr>
          <w:rFonts w:ascii="Times New Roman" w:hAnsi="Times New Roman" w:cs="Times New Roman"/>
          <w:sz w:val="24"/>
          <w:szCs w:val="24"/>
        </w:rPr>
        <w:t>(B</w:t>
      </w:r>
      <w:proofErr w:type="gramStart"/>
      <w:r w:rsidR="00671ED5">
        <w:rPr>
          <w:rFonts w:ascii="Times New Roman" w:hAnsi="Times New Roman" w:cs="Times New Roman"/>
          <w:sz w:val="24"/>
          <w:szCs w:val="24"/>
        </w:rPr>
        <w:t>)(</w:t>
      </w:r>
      <w:proofErr w:type="gramEnd"/>
      <w:r w:rsidR="00671ED5">
        <w:rPr>
          <w:rFonts w:ascii="Times New Roman" w:hAnsi="Times New Roman" w:cs="Times New Roman"/>
          <w:sz w:val="24"/>
          <w:szCs w:val="24"/>
        </w:rPr>
        <w:t>1)</w:t>
      </w:r>
      <w:r>
        <w:rPr>
          <w:rFonts w:ascii="Times New Roman" w:hAnsi="Times New Roman" w:cs="Times New Roman"/>
          <w:sz w:val="24"/>
          <w:szCs w:val="24"/>
        </w:rPr>
        <w:t xml:space="preserve"> of the Board’s Regulations </w:t>
      </w:r>
      <w:r w:rsidR="00671ED5">
        <w:rPr>
          <w:rFonts w:ascii="Times New Roman" w:hAnsi="Times New Roman" w:cs="Times New Roman"/>
          <w:sz w:val="24"/>
          <w:szCs w:val="24"/>
        </w:rPr>
        <w:t>Governing the Practice of Physical Therapy</w:t>
      </w:r>
      <w:r>
        <w:rPr>
          <w:rFonts w:ascii="Times New Roman" w:hAnsi="Times New Roman" w:cs="Times New Roman"/>
          <w:sz w:val="24"/>
          <w:szCs w:val="24"/>
        </w:rPr>
        <w:t xml:space="preserve"> provide</w:t>
      </w:r>
      <w:r w:rsidR="00671ED5">
        <w:rPr>
          <w:rFonts w:ascii="Times New Roman" w:hAnsi="Times New Roman" w:cs="Times New Roman"/>
          <w:sz w:val="24"/>
          <w:szCs w:val="24"/>
        </w:rPr>
        <w:t>s</w:t>
      </w:r>
      <w:r>
        <w:rPr>
          <w:rFonts w:ascii="Times New Roman" w:hAnsi="Times New Roman" w:cs="Times New Roman"/>
          <w:sz w:val="24"/>
          <w:szCs w:val="24"/>
        </w:rPr>
        <w:t xml:space="preserve"> the following:</w:t>
      </w:r>
    </w:p>
    <w:p w:rsidR="00C26E7F" w:rsidRPr="00C26E7F" w:rsidRDefault="00C26E7F" w:rsidP="00671ED5">
      <w:pPr>
        <w:spacing w:after="120" w:line="320" w:lineRule="atLeast"/>
        <w:ind w:left="240"/>
        <w:rPr>
          <w:rFonts w:ascii="Times" w:eastAsia="Times New Roman" w:hAnsi="Times" w:cs="Times"/>
          <w:i/>
          <w:sz w:val="24"/>
          <w:szCs w:val="24"/>
        </w:rPr>
      </w:pPr>
      <w:r w:rsidRPr="00C26E7F">
        <w:rPr>
          <w:rFonts w:ascii="Times" w:eastAsia="Times New Roman" w:hAnsi="Times" w:cs="Times"/>
          <w:i/>
          <w:sz w:val="24"/>
          <w:szCs w:val="24"/>
        </w:rPr>
        <w:t>B. The board shall only approve a credentialing agency that:</w:t>
      </w:r>
    </w:p>
    <w:p w:rsidR="0012616E" w:rsidRPr="00C26E7F" w:rsidRDefault="00C26E7F" w:rsidP="00671ED5">
      <w:pPr>
        <w:spacing w:after="120" w:line="320" w:lineRule="atLeast"/>
        <w:ind w:left="480"/>
        <w:rPr>
          <w:rFonts w:ascii="Times" w:eastAsia="Times New Roman" w:hAnsi="Times" w:cs="Times"/>
          <w:i/>
          <w:sz w:val="24"/>
          <w:szCs w:val="24"/>
        </w:rPr>
      </w:pPr>
      <w:r w:rsidRPr="00C26E7F">
        <w:rPr>
          <w:rFonts w:ascii="Times" w:eastAsia="Times New Roman" w:hAnsi="Times" w:cs="Times"/>
          <w:i/>
          <w:sz w:val="24"/>
          <w:szCs w:val="24"/>
        </w:rPr>
        <w:t>1. Utilizes the FSBPT Coursework Evaluation Tool for Foreign Educated Physical Therapists, as required to sit for FSBPT examination, and utilizes original source documents to establish substantial equivalency to an approved physical therapy program;</w:t>
      </w:r>
    </w:p>
    <w:p w:rsidR="0012616E" w:rsidRDefault="0012616E" w:rsidP="0012616E">
      <w:pPr>
        <w:rPr>
          <w:rFonts w:ascii="Times New Roman" w:hAnsi="Times New Roman" w:cs="Times New Roman"/>
          <w:sz w:val="24"/>
          <w:szCs w:val="24"/>
        </w:rPr>
      </w:pPr>
      <w:r>
        <w:rPr>
          <w:rFonts w:ascii="Times New Roman" w:hAnsi="Times New Roman" w:cs="Times New Roman"/>
          <w:sz w:val="24"/>
          <w:szCs w:val="24"/>
        </w:rPr>
        <w:t xml:space="preserve">The Board interprets this requirement to mean that the </w:t>
      </w:r>
      <w:r w:rsidR="00C81E86">
        <w:rPr>
          <w:rFonts w:ascii="Times New Roman" w:hAnsi="Times New Roman" w:cs="Times New Roman"/>
          <w:sz w:val="24"/>
          <w:szCs w:val="24"/>
        </w:rPr>
        <w:t>Federation of State Boards of Physical Therapy (</w:t>
      </w:r>
      <w:r w:rsidR="00C26E7F">
        <w:rPr>
          <w:rFonts w:ascii="Times New Roman" w:hAnsi="Times New Roman" w:cs="Times New Roman"/>
          <w:sz w:val="24"/>
          <w:szCs w:val="24"/>
        </w:rPr>
        <w:t>FSBPT</w:t>
      </w:r>
      <w:r w:rsidR="00C81E86">
        <w:rPr>
          <w:rFonts w:ascii="Times New Roman" w:hAnsi="Times New Roman" w:cs="Times New Roman"/>
          <w:sz w:val="24"/>
          <w:szCs w:val="24"/>
        </w:rPr>
        <w:t>)</w:t>
      </w:r>
      <w:r w:rsidR="00C26E7F">
        <w:rPr>
          <w:rFonts w:ascii="Times New Roman" w:hAnsi="Times New Roman" w:cs="Times New Roman"/>
          <w:sz w:val="24"/>
          <w:szCs w:val="24"/>
        </w:rPr>
        <w:t xml:space="preserve"> Coursework Evaluation Tool </w:t>
      </w:r>
      <w:r w:rsidR="00671ED5">
        <w:rPr>
          <w:rFonts w:ascii="Times New Roman" w:hAnsi="Times New Roman" w:cs="Times New Roman"/>
          <w:sz w:val="24"/>
          <w:szCs w:val="24"/>
        </w:rPr>
        <w:t>utilized by the credentialing agency should be based upon the year of the applicant’s graduation from the physical therapy program.</w:t>
      </w:r>
    </w:p>
    <w:p w:rsidR="00C26E7F" w:rsidRDefault="00C26E7F" w:rsidP="0012616E">
      <w:pPr>
        <w:rPr>
          <w:rFonts w:ascii="Times New Roman" w:hAnsi="Times New Roman" w:cs="Times New Roman"/>
          <w:sz w:val="24"/>
          <w:szCs w:val="24"/>
        </w:rPr>
      </w:pPr>
      <w:r>
        <w:rPr>
          <w:rFonts w:ascii="Times New Roman" w:hAnsi="Times New Roman" w:cs="Times New Roman"/>
          <w:sz w:val="24"/>
          <w:szCs w:val="24"/>
        </w:rPr>
        <w:t xml:space="preserve">Further, </w:t>
      </w:r>
      <w:r w:rsidR="00671ED5">
        <w:rPr>
          <w:rFonts w:ascii="Times New Roman" w:hAnsi="Times New Roman" w:cs="Times New Roman"/>
          <w:sz w:val="24"/>
          <w:szCs w:val="24"/>
        </w:rPr>
        <w:t xml:space="preserve">Sections </w:t>
      </w:r>
      <w:r>
        <w:rPr>
          <w:rFonts w:ascii="Times New Roman" w:hAnsi="Times New Roman" w:cs="Times New Roman"/>
          <w:sz w:val="24"/>
          <w:szCs w:val="24"/>
        </w:rPr>
        <w:t>18VAC112-20-50</w:t>
      </w:r>
      <w:r w:rsidR="00671ED5">
        <w:rPr>
          <w:rFonts w:ascii="Times New Roman" w:hAnsi="Times New Roman" w:cs="Times New Roman"/>
          <w:sz w:val="24"/>
          <w:szCs w:val="24"/>
        </w:rPr>
        <w:t>(B</w:t>
      </w:r>
      <w:proofErr w:type="gramStart"/>
      <w:r w:rsidR="00671ED5">
        <w:rPr>
          <w:rFonts w:ascii="Times New Roman" w:hAnsi="Times New Roman" w:cs="Times New Roman"/>
          <w:sz w:val="24"/>
          <w:szCs w:val="24"/>
        </w:rPr>
        <w:t>)(</w:t>
      </w:r>
      <w:proofErr w:type="gramEnd"/>
      <w:r w:rsidR="00671ED5">
        <w:rPr>
          <w:rFonts w:ascii="Times New Roman" w:hAnsi="Times New Roman" w:cs="Times New Roman"/>
          <w:sz w:val="24"/>
          <w:szCs w:val="24"/>
        </w:rPr>
        <w:t>3) and (C)(1) of the Board’s Regulations provide</w:t>
      </w:r>
      <w:r>
        <w:rPr>
          <w:rFonts w:ascii="Times New Roman" w:hAnsi="Times New Roman" w:cs="Times New Roman"/>
          <w:sz w:val="24"/>
          <w:szCs w:val="24"/>
        </w:rPr>
        <w:t xml:space="preserve"> the following for applicants for licensure as physical therapists and physical therapist assistants:</w:t>
      </w:r>
    </w:p>
    <w:p w:rsidR="00C26E7F" w:rsidRPr="00C26E7F" w:rsidRDefault="00C26E7F" w:rsidP="00671ED5">
      <w:pPr>
        <w:spacing w:after="120" w:line="320" w:lineRule="atLeast"/>
        <w:ind w:left="240"/>
        <w:rPr>
          <w:rFonts w:ascii="PT Serif" w:eastAsia="Times New Roman" w:hAnsi="PT Serif" w:cs="Times New Roman"/>
          <w:i/>
          <w:color w:val="444444"/>
          <w:sz w:val="24"/>
          <w:szCs w:val="24"/>
        </w:rPr>
      </w:pPr>
      <w:r w:rsidRPr="00C26E7F">
        <w:rPr>
          <w:rFonts w:ascii="PT Serif" w:eastAsia="Times New Roman" w:hAnsi="PT Serif" w:cs="Times New Roman"/>
          <w:i/>
          <w:color w:val="444444"/>
          <w:sz w:val="24"/>
          <w:szCs w:val="24"/>
        </w:rPr>
        <w:t>B. The board shall only approve a credentialing agency that:</w:t>
      </w:r>
    </w:p>
    <w:p w:rsidR="00C26E7F" w:rsidRPr="00C26E7F" w:rsidRDefault="00C26E7F" w:rsidP="00671ED5">
      <w:pPr>
        <w:spacing w:after="120" w:line="320" w:lineRule="atLeast"/>
        <w:ind w:left="480"/>
        <w:rPr>
          <w:rFonts w:ascii="PT Serif" w:eastAsia="Times New Roman" w:hAnsi="PT Serif" w:cs="Times New Roman"/>
          <w:i/>
          <w:color w:val="444444"/>
          <w:sz w:val="24"/>
          <w:szCs w:val="24"/>
        </w:rPr>
      </w:pPr>
      <w:r w:rsidRPr="00C26E7F">
        <w:rPr>
          <w:rFonts w:ascii="PT Serif" w:eastAsia="Times New Roman" w:hAnsi="PT Serif" w:cs="Times New Roman"/>
          <w:i/>
          <w:color w:val="444444"/>
          <w:sz w:val="24"/>
          <w:szCs w:val="24"/>
        </w:rPr>
        <w:t xml:space="preserve">3. Verifies English language proficiency by passage of the TOEFL and TSE examination or the TOEFL </w:t>
      </w:r>
      <w:proofErr w:type="spellStart"/>
      <w:r w:rsidRPr="00C26E7F">
        <w:rPr>
          <w:rFonts w:ascii="PT Serif" w:eastAsia="Times New Roman" w:hAnsi="PT Serif" w:cs="Times New Roman"/>
          <w:i/>
          <w:color w:val="444444"/>
          <w:sz w:val="24"/>
          <w:szCs w:val="24"/>
        </w:rPr>
        <w:t>iBT</w:t>
      </w:r>
      <w:proofErr w:type="spellEnd"/>
      <w:r w:rsidRPr="00C26E7F">
        <w:rPr>
          <w:rFonts w:ascii="PT Serif" w:eastAsia="Times New Roman" w:hAnsi="PT Serif" w:cs="Times New Roman"/>
          <w:i/>
          <w:color w:val="444444"/>
          <w:sz w:val="24"/>
          <w:szCs w:val="24"/>
        </w:rPr>
        <w:t>, the Internet-based tests of listening, reading, speaking, and writing or by review of evidence that the applicant's physical therapy program was taught in English or that the native tongue of the applicant's nationality is English.</w:t>
      </w:r>
    </w:p>
    <w:p w:rsidR="00C26E7F" w:rsidRPr="00C26E7F" w:rsidRDefault="00C26E7F" w:rsidP="00671ED5">
      <w:pPr>
        <w:spacing w:after="120" w:line="320" w:lineRule="atLeast"/>
        <w:ind w:left="240"/>
        <w:rPr>
          <w:rFonts w:ascii="PT Serif" w:eastAsia="Times New Roman" w:hAnsi="PT Serif" w:cs="Times New Roman"/>
          <w:i/>
          <w:color w:val="444444"/>
          <w:sz w:val="24"/>
          <w:szCs w:val="24"/>
        </w:rPr>
      </w:pPr>
      <w:r w:rsidRPr="00C26E7F">
        <w:rPr>
          <w:rFonts w:ascii="PT Serif" w:eastAsia="Times New Roman" w:hAnsi="PT Serif" w:cs="Times New Roman"/>
          <w:i/>
          <w:color w:val="444444"/>
          <w:sz w:val="24"/>
          <w:szCs w:val="24"/>
        </w:rPr>
        <w:t>C. An applicant for licensure as a physical therapist assistant who is a graduate of a school not approved by the board shall submit with the required application and fee the following:</w:t>
      </w:r>
    </w:p>
    <w:p w:rsidR="00671ED5" w:rsidRPr="00671ED5" w:rsidRDefault="00C26E7F" w:rsidP="00671ED5">
      <w:pPr>
        <w:spacing w:after="120" w:line="320" w:lineRule="atLeast"/>
        <w:ind w:left="480"/>
        <w:rPr>
          <w:rFonts w:ascii="PT Serif" w:eastAsia="Times New Roman" w:hAnsi="PT Serif" w:cs="Times New Roman"/>
          <w:i/>
          <w:color w:val="444444"/>
          <w:sz w:val="24"/>
          <w:szCs w:val="24"/>
        </w:rPr>
      </w:pPr>
      <w:r w:rsidRPr="00C26E7F">
        <w:rPr>
          <w:rFonts w:ascii="PT Serif" w:eastAsia="Times New Roman" w:hAnsi="PT Serif" w:cs="Times New Roman"/>
          <w:i/>
          <w:color w:val="444444"/>
          <w:sz w:val="24"/>
          <w:szCs w:val="24"/>
        </w:rPr>
        <w:t xml:space="preserve">1. Proof of proficiency in the English language by passing TOEFL and TSE or the TOEFL </w:t>
      </w:r>
      <w:proofErr w:type="spellStart"/>
      <w:r w:rsidRPr="00C26E7F">
        <w:rPr>
          <w:rFonts w:ascii="PT Serif" w:eastAsia="Times New Roman" w:hAnsi="PT Serif" w:cs="Times New Roman"/>
          <w:i/>
          <w:color w:val="444444"/>
          <w:sz w:val="24"/>
          <w:szCs w:val="24"/>
        </w:rPr>
        <w:t>iBT</w:t>
      </w:r>
      <w:proofErr w:type="spellEnd"/>
      <w:r w:rsidRPr="00C26E7F">
        <w:rPr>
          <w:rFonts w:ascii="PT Serif" w:eastAsia="Times New Roman" w:hAnsi="PT Serif" w:cs="Times New Roman"/>
          <w:i/>
          <w:color w:val="444444"/>
          <w:sz w:val="24"/>
          <w:szCs w:val="24"/>
        </w:rPr>
        <w:t xml:space="preserve">, the Internet-based tests of listening, reading, speaking, and writing by a score determined by the board or an equivalent examination approved by the board. TOEFL </w:t>
      </w:r>
      <w:proofErr w:type="spellStart"/>
      <w:r w:rsidRPr="00C26E7F">
        <w:rPr>
          <w:rFonts w:ascii="PT Serif" w:eastAsia="Times New Roman" w:hAnsi="PT Serif" w:cs="Times New Roman"/>
          <w:i/>
          <w:color w:val="444444"/>
          <w:sz w:val="24"/>
          <w:szCs w:val="24"/>
        </w:rPr>
        <w:t>iBT</w:t>
      </w:r>
      <w:proofErr w:type="spellEnd"/>
      <w:r w:rsidRPr="00C26E7F">
        <w:rPr>
          <w:rFonts w:ascii="PT Serif" w:eastAsia="Times New Roman" w:hAnsi="PT Serif" w:cs="Times New Roman"/>
          <w:i/>
          <w:color w:val="444444"/>
          <w:sz w:val="24"/>
          <w:szCs w:val="24"/>
        </w:rPr>
        <w:t xml:space="preserve"> or TOEFL and TSE may be waived upon evidence that the applicant's physical therapist assistant program was taught in English or that the native tongue of the applicant's nationality is English.</w:t>
      </w:r>
    </w:p>
    <w:p w:rsidR="0012616E" w:rsidRDefault="00703486" w:rsidP="0012616E">
      <w:pPr>
        <w:rPr>
          <w:rFonts w:ascii="Times New Roman" w:hAnsi="Times New Roman" w:cs="Times New Roman"/>
          <w:sz w:val="24"/>
          <w:szCs w:val="24"/>
        </w:rPr>
      </w:pPr>
      <w:r>
        <w:rPr>
          <w:rFonts w:ascii="Times New Roman" w:hAnsi="Times New Roman" w:cs="Times New Roman"/>
          <w:sz w:val="24"/>
          <w:szCs w:val="24"/>
        </w:rPr>
        <w:t>With regard to</w:t>
      </w:r>
      <w:r w:rsidR="00C26E7F">
        <w:rPr>
          <w:rFonts w:ascii="Times New Roman" w:hAnsi="Times New Roman" w:cs="Times New Roman"/>
          <w:sz w:val="24"/>
          <w:szCs w:val="24"/>
        </w:rPr>
        <w:t xml:space="preserve"> passage of the TOEFL examination</w:t>
      </w:r>
      <w:r>
        <w:rPr>
          <w:rFonts w:ascii="Times New Roman" w:hAnsi="Times New Roman" w:cs="Times New Roman"/>
          <w:sz w:val="24"/>
          <w:szCs w:val="24"/>
        </w:rPr>
        <w:t xml:space="preserve">, the </w:t>
      </w:r>
      <w:r w:rsidRPr="00703486">
        <w:rPr>
          <w:rFonts w:ascii="Times New Roman" w:hAnsi="Times New Roman" w:cs="Times New Roman"/>
          <w:sz w:val="24"/>
          <w:szCs w:val="24"/>
        </w:rPr>
        <w:t xml:space="preserve">Board follows the recommended passing scores from </w:t>
      </w:r>
      <w:r>
        <w:rPr>
          <w:rFonts w:ascii="Times New Roman" w:hAnsi="Times New Roman" w:cs="Times New Roman"/>
          <w:sz w:val="24"/>
          <w:szCs w:val="24"/>
        </w:rPr>
        <w:t xml:space="preserve">FSBPT. </w:t>
      </w:r>
    </w:p>
    <w:p w:rsidR="00C26E7F" w:rsidRPr="00C26E7F" w:rsidRDefault="00671ED5" w:rsidP="00671ED5">
      <w:pPr>
        <w:tabs>
          <w:tab w:val="left" w:pos="7140"/>
        </w:tabs>
        <w:rPr>
          <w:rFonts w:ascii="Times New Roman" w:hAnsi="Times New Roman" w:cs="Times New Roman"/>
          <w:sz w:val="24"/>
          <w:szCs w:val="24"/>
        </w:rPr>
      </w:pPr>
      <w:r>
        <w:rPr>
          <w:rFonts w:ascii="Times New Roman" w:hAnsi="Times New Roman" w:cs="Times New Roman"/>
          <w:sz w:val="24"/>
          <w:szCs w:val="24"/>
        </w:rPr>
        <w:tab/>
      </w:r>
    </w:p>
    <w:sectPr w:rsidR="00C26E7F" w:rsidRPr="00C26E7F" w:rsidSect="004044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31" w:rsidRDefault="004D7731" w:rsidP="004D7731">
      <w:pPr>
        <w:spacing w:after="0" w:line="240" w:lineRule="auto"/>
      </w:pPr>
      <w:r>
        <w:separator/>
      </w:r>
    </w:p>
  </w:endnote>
  <w:endnote w:type="continuationSeparator" w:id="0">
    <w:p w:rsidR="004D7731" w:rsidRDefault="004D7731" w:rsidP="004D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T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31" w:rsidRDefault="004D7731" w:rsidP="004D7731">
      <w:pPr>
        <w:spacing w:after="0" w:line="240" w:lineRule="auto"/>
      </w:pPr>
      <w:r>
        <w:separator/>
      </w:r>
    </w:p>
  </w:footnote>
  <w:footnote w:type="continuationSeparator" w:id="0">
    <w:p w:rsidR="004D7731" w:rsidRDefault="004D7731" w:rsidP="004D7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BD0" w:rsidRDefault="004D7731">
    <w:pPr>
      <w:pStyle w:val="Header"/>
      <w:rPr>
        <w:rFonts w:ascii="Times New Roman" w:hAnsi="Times New Roman" w:cs="Times New Roman"/>
      </w:rPr>
    </w:pPr>
    <w:r w:rsidRPr="004D7731">
      <w:rPr>
        <w:rFonts w:ascii="Times New Roman" w:hAnsi="Times New Roman" w:cs="Times New Roman"/>
      </w:rPr>
      <w:t>Guidance Document 112-</w:t>
    </w:r>
    <w:r w:rsidR="00511BD0">
      <w:rPr>
        <w:rFonts w:ascii="Times New Roman" w:hAnsi="Times New Roman" w:cs="Times New Roman"/>
      </w:rPr>
      <w:t>5</w:t>
    </w:r>
    <w:r w:rsidRPr="004D7731">
      <w:rPr>
        <w:rFonts w:ascii="Times New Roman" w:hAnsi="Times New Roman" w:cs="Times New Roman"/>
      </w:rPr>
      <w:tab/>
    </w:r>
    <w:r w:rsidRPr="004D7731">
      <w:rPr>
        <w:rFonts w:ascii="Times New Roman" w:hAnsi="Times New Roman" w:cs="Times New Roman"/>
      </w:rPr>
      <w:tab/>
      <w:t>Adopted:</w:t>
    </w:r>
    <w:r w:rsidR="00511BD0">
      <w:rPr>
        <w:rFonts w:ascii="Times New Roman" w:hAnsi="Times New Roman" w:cs="Times New Roman"/>
      </w:rPr>
      <w:t xml:space="preserve"> August 10, 2021</w:t>
    </w:r>
  </w:p>
  <w:p w:rsidR="004D7731" w:rsidRDefault="00511BD0">
    <w:pPr>
      <w:pStyle w:val="Header"/>
      <w:rPr>
        <w:rFonts w:ascii="Times New Roman" w:hAnsi="Times New Roman" w:cs="Times New Roman"/>
      </w:rPr>
    </w:pPr>
    <w:r>
      <w:tab/>
    </w:r>
    <w:r>
      <w:tab/>
    </w:r>
    <w:r w:rsidRPr="00511BD0">
      <w:rPr>
        <w:rFonts w:ascii="Times New Roman" w:hAnsi="Times New Roman" w:cs="Times New Roman"/>
      </w:rPr>
      <w:t>Effective: September 30, 2021</w:t>
    </w:r>
  </w:p>
  <w:p w:rsidR="00511BD0" w:rsidRDefault="00511BD0">
    <w:pPr>
      <w:pStyle w:val="Header"/>
      <w:rPr>
        <w:rFonts w:ascii="Times New Roman" w:hAnsi="Times New Roman" w:cs="Times New Roman"/>
      </w:rPr>
    </w:pPr>
  </w:p>
  <w:p w:rsidR="00511BD0" w:rsidRPr="00511BD0" w:rsidRDefault="00511BD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9E"/>
    <w:rsid w:val="00064CF5"/>
    <w:rsid w:val="0012616E"/>
    <w:rsid w:val="00165CC1"/>
    <w:rsid w:val="00197A34"/>
    <w:rsid w:val="002E3CCC"/>
    <w:rsid w:val="003449E0"/>
    <w:rsid w:val="00362616"/>
    <w:rsid w:val="003E3040"/>
    <w:rsid w:val="003F7AAD"/>
    <w:rsid w:val="00404446"/>
    <w:rsid w:val="00485751"/>
    <w:rsid w:val="004D7731"/>
    <w:rsid w:val="004E6E59"/>
    <w:rsid w:val="00511BD0"/>
    <w:rsid w:val="005914D2"/>
    <w:rsid w:val="00615B75"/>
    <w:rsid w:val="00620F1F"/>
    <w:rsid w:val="00634193"/>
    <w:rsid w:val="00671ED5"/>
    <w:rsid w:val="00693647"/>
    <w:rsid w:val="00703486"/>
    <w:rsid w:val="00842469"/>
    <w:rsid w:val="008449D4"/>
    <w:rsid w:val="00A06182"/>
    <w:rsid w:val="00B26264"/>
    <w:rsid w:val="00B548CD"/>
    <w:rsid w:val="00C26E7F"/>
    <w:rsid w:val="00C32438"/>
    <w:rsid w:val="00C73C3C"/>
    <w:rsid w:val="00C81E86"/>
    <w:rsid w:val="00C85E9E"/>
    <w:rsid w:val="00CA741F"/>
    <w:rsid w:val="00CB0BE5"/>
    <w:rsid w:val="00CD29A3"/>
    <w:rsid w:val="00CD7A37"/>
    <w:rsid w:val="00D76230"/>
    <w:rsid w:val="00E722B2"/>
    <w:rsid w:val="00E73AB9"/>
    <w:rsid w:val="00F81B20"/>
    <w:rsid w:val="00F90322"/>
    <w:rsid w:val="00FF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46EA78-9550-4A02-AE5B-10D87E99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5E9E"/>
    <w:pPr>
      <w:spacing w:before="100" w:beforeAutospacing="1" w:after="100" w:afterAutospacing="1" w:line="288" w:lineRule="atLeast"/>
      <w:outlineLvl w:val="1"/>
    </w:pPr>
    <w:rPr>
      <w:rFonts w:ascii="Helvetica" w:eastAsia="Times New Roman" w:hAnsi="Helvetica" w:cs="Helvetica"/>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E9E"/>
    <w:rPr>
      <w:rFonts w:ascii="Helvetica" w:eastAsia="Times New Roman" w:hAnsi="Helvetica" w:cs="Helvetica"/>
      <w:sz w:val="31"/>
      <w:szCs w:val="31"/>
    </w:rPr>
  </w:style>
  <w:style w:type="paragraph" w:customStyle="1" w:styleId="sectbi">
    <w:name w:val="sectbi"/>
    <w:basedOn w:val="Normal"/>
    <w:rsid w:val="00C85E9E"/>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C85E9E"/>
    <w:pPr>
      <w:spacing w:after="192"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E59"/>
    <w:rPr>
      <w:color w:val="0000FF"/>
      <w:u w:val="single"/>
    </w:rPr>
  </w:style>
  <w:style w:type="paragraph" w:styleId="NormalWeb">
    <w:name w:val="Normal (Web)"/>
    <w:basedOn w:val="Normal"/>
    <w:uiPriority w:val="99"/>
    <w:semiHidden/>
    <w:unhideWhenUsed/>
    <w:rsid w:val="004E6E59"/>
    <w:pPr>
      <w:spacing w:after="192"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7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31"/>
  </w:style>
  <w:style w:type="paragraph" w:styleId="Footer">
    <w:name w:val="footer"/>
    <w:basedOn w:val="Normal"/>
    <w:link w:val="FooterChar"/>
    <w:uiPriority w:val="99"/>
    <w:unhideWhenUsed/>
    <w:rsid w:val="004D7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2055">
      <w:bodyDiv w:val="1"/>
      <w:marLeft w:val="0"/>
      <w:marRight w:val="0"/>
      <w:marTop w:val="0"/>
      <w:marBottom w:val="0"/>
      <w:divBdr>
        <w:top w:val="none" w:sz="0" w:space="0" w:color="auto"/>
        <w:left w:val="none" w:sz="0" w:space="0" w:color="auto"/>
        <w:bottom w:val="none" w:sz="0" w:space="0" w:color="auto"/>
        <w:right w:val="none" w:sz="0" w:space="0" w:color="auto"/>
      </w:divBdr>
      <w:divsChild>
        <w:div w:id="1782989399">
          <w:marLeft w:val="0"/>
          <w:marRight w:val="0"/>
          <w:marTop w:val="0"/>
          <w:marBottom w:val="0"/>
          <w:divBdr>
            <w:top w:val="none" w:sz="0" w:space="0" w:color="auto"/>
            <w:left w:val="none" w:sz="0" w:space="0" w:color="auto"/>
            <w:bottom w:val="none" w:sz="0" w:space="0" w:color="auto"/>
            <w:right w:val="none" w:sz="0" w:space="0" w:color="auto"/>
          </w:divBdr>
          <w:divsChild>
            <w:div w:id="2121485370">
              <w:marLeft w:val="0"/>
              <w:marRight w:val="0"/>
              <w:marTop w:val="0"/>
              <w:marBottom w:val="0"/>
              <w:divBdr>
                <w:top w:val="none" w:sz="0" w:space="0" w:color="auto"/>
                <w:left w:val="none" w:sz="0" w:space="0" w:color="auto"/>
                <w:bottom w:val="none" w:sz="0" w:space="0" w:color="auto"/>
                <w:right w:val="none" w:sz="0" w:space="0" w:color="auto"/>
              </w:divBdr>
              <w:divsChild>
                <w:div w:id="1008362353">
                  <w:marLeft w:val="0"/>
                  <w:marRight w:val="0"/>
                  <w:marTop w:val="0"/>
                  <w:marBottom w:val="120"/>
                  <w:divBdr>
                    <w:top w:val="none" w:sz="0" w:space="0" w:color="auto"/>
                    <w:left w:val="none" w:sz="0" w:space="0" w:color="auto"/>
                    <w:bottom w:val="none" w:sz="0" w:space="0" w:color="auto"/>
                    <w:right w:val="none" w:sz="0" w:space="0" w:color="auto"/>
                  </w:divBdr>
                  <w:divsChild>
                    <w:div w:id="827092614">
                      <w:marLeft w:val="0"/>
                      <w:marRight w:val="0"/>
                      <w:marTop w:val="0"/>
                      <w:marBottom w:val="0"/>
                      <w:divBdr>
                        <w:top w:val="none" w:sz="0" w:space="0" w:color="auto"/>
                        <w:left w:val="none" w:sz="0" w:space="0" w:color="auto"/>
                        <w:bottom w:val="none" w:sz="0" w:space="0" w:color="auto"/>
                        <w:right w:val="none" w:sz="0" w:space="0" w:color="auto"/>
                      </w:divBdr>
                      <w:divsChild>
                        <w:div w:id="1285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31682">
      <w:bodyDiv w:val="1"/>
      <w:marLeft w:val="0"/>
      <w:marRight w:val="0"/>
      <w:marTop w:val="0"/>
      <w:marBottom w:val="0"/>
      <w:divBdr>
        <w:top w:val="none" w:sz="0" w:space="0" w:color="auto"/>
        <w:left w:val="none" w:sz="0" w:space="0" w:color="auto"/>
        <w:bottom w:val="none" w:sz="0" w:space="0" w:color="auto"/>
        <w:right w:val="none" w:sz="0" w:space="0" w:color="auto"/>
      </w:divBdr>
      <w:divsChild>
        <w:div w:id="1515920418">
          <w:marLeft w:val="0"/>
          <w:marRight w:val="0"/>
          <w:marTop w:val="0"/>
          <w:marBottom w:val="0"/>
          <w:divBdr>
            <w:top w:val="none" w:sz="0" w:space="0" w:color="auto"/>
            <w:left w:val="none" w:sz="0" w:space="0" w:color="auto"/>
            <w:bottom w:val="none" w:sz="0" w:space="0" w:color="auto"/>
            <w:right w:val="none" w:sz="0" w:space="0" w:color="auto"/>
          </w:divBdr>
          <w:divsChild>
            <w:div w:id="1586069158">
              <w:marLeft w:val="0"/>
              <w:marRight w:val="0"/>
              <w:marTop w:val="0"/>
              <w:marBottom w:val="120"/>
              <w:divBdr>
                <w:top w:val="none" w:sz="0" w:space="0" w:color="auto"/>
                <w:left w:val="none" w:sz="0" w:space="0" w:color="auto"/>
                <w:bottom w:val="none" w:sz="0" w:space="0" w:color="auto"/>
                <w:right w:val="none" w:sz="0" w:space="0" w:color="auto"/>
              </w:divBdr>
              <w:divsChild>
                <w:div w:id="677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4993">
      <w:bodyDiv w:val="1"/>
      <w:marLeft w:val="0"/>
      <w:marRight w:val="0"/>
      <w:marTop w:val="0"/>
      <w:marBottom w:val="0"/>
      <w:divBdr>
        <w:top w:val="none" w:sz="0" w:space="0" w:color="auto"/>
        <w:left w:val="none" w:sz="0" w:space="0" w:color="auto"/>
        <w:bottom w:val="none" w:sz="0" w:space="0" w:color="auto"/>
        <w:right w:val="none" w:sz="0" w:space="0" w:color="auto"/>
      </w:divBdr>
      <w:divsChild>
        <w:div w:id="1446728728">
          <w:marLeft w:val="0"/>
          <w:marRight w:val="0"/>
          <w:marTop w:val="0"/>
          <w:marBottom w:val="0"/>
          <w:divBdr>
            <w:top w:val="none" w:sz="0" w:space="0" w:color="auto"/>
            <w:left w:val="none" w:sz="0" w:space="0" w:color="auto"/>
            <w:bottom w:val="none" w:sz="0" w:space="0" w:color="auto"/>
            <w:right w:val="none" w:sz="0" w:space="0" w:color="auto"/>
          </w:divBdr>
          <w:divsChild>
            <w:div w:id="1968268144">
              <w:marLeft w:val="0"/>
              <w:marRight w:val="0"/>
              <w:marTop w:val="0"/>
              <w:marBottom w:val="120"/>
              <w:divBdr>
                <w:top w:val="none" w:sz="0" w:space="0" w:color="auto"/>
                <w:left w:val="none" w:sz="0" w:space="0" w:color="auto"/>
                <w:bottom w:val="none" w:sz="0" w:space="0" w:color="auto"/>
                <w:right w:val="none" w:sz="0" w:space="0" w:color="auto"/>
              </w:divBdr>
              <w:divsChild>
                <w:div w:id="2004703274">
                  <w:marLeft w:val="0"/>
                  <w:marRight w:val="0"/>
                  <w:marTop w:val="0"/>
                  <w:marBottom w:val="0"/>
                  <w:divBdr>
                    <w:top w:val="none" w:sz="0" w:space="0" w:color="auto"/>
                    <w:left w:val="none" w:sz="0" w:space="0" w:color="auto"/>
                    <w:bottom w:val="none" w:sz="0" w:space="0" w:color="auto"/>
                    <w:right w:val="none" w:sz="0" w:space="0" w:color="auto"/>
                  </w:divBdr>
                  <w:divsChild>
                    <w:div w:id="1678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6332">
      <w:bodyDiv w:val="1"/>
      <w:marLeft w:val="0"/>
      <w:marRight w:val="0"/>
      <w:marTop w:val="0"/>
      <w:marBottom w:val="0"/>
      <w:divBdr>
        <w:top w:val="none" w:sz="0" w:space="0" w:color="auto"/>
        <w:left w:val="none" w:sz="0" w:space="0" w:color="auto"/>
        <w:bottom w:val="none" w:sz="0" w:space="0" w:color="auto"/>
        <w:right w:val="none" w:sz="0" w:space="0" w:color="auto"/>
      </w:divBdr>
      <w:divsChild>
        <w:div w:id="1633830439">
          <w:marLeft w:val="0"/>
          <w:marRight w:val="0"/>
          <w:marTop w:val="0"/>
          <w:marBottom w:val="0"/>
          <w:divBdr>
            <w:top w:val="none" w:sz="0" w:space="0" w:color="auto"/>
            <w:left w:val="none" w:sz="0" w:space="0" w:color="auto"/>
            <w:bottom w:val="none" w:sz="0" w:space="0" w:color="auto"/>
            <w:right w:val="none" w:sz="0" w:space="0" w:color="auto"/>
          </w:divBdr>
          <w:divsChild>
            <w:div w:id="1584488110">
              <w:marLeft w:val="0"/>
              <w:marRight w:val="0"/>
              <w:marTop w:val="0"/>
              <w:marBottom w:val="0"/>
              <w:divBdr>
                <w:top w:val="none" w:sz="0" w:space="0" w:color="auto"/>
                <w:left w:val="none" w:sz="0" w:space="0" w:color="auto"/>
                <w:bottom w:val="none" w:sz="0" w:space="0" w:color="auto"/>
                <w:right w:val="none" w:sz="0" w:space="0" w:color="auto"/>
              </w:divBdr>
              <w:divsChild>
                <w:div w:id="554976510">
                  <w:marLeft w:val="0"/>
                  <w:marRight w:val="0"/>
                  <w:marTop w:val="0"/>
                  <w:marBottom w:val="120"/>
                  <w:divBdr>
                    <w:top w:val="none" w:sz="0" w:space="0" w:color="auto"/>
                    <w:left w:val="none" w:sz="0" w:space="0" w:color="auto"/>
                    <w:bottom w:val="none" w:sz="0" w:space="0" w:color="auto"/>
                    <w:right w:val="none" w:sz="0" w:space="0" w:color="auto"/>
                  </w:divBdr>
                  <w:divsChild>
                    <w:div w:id="1805658436">
                      <w:marLeft w:val="0"/>
                      <w:marRight w:val="0"/>
                      <w:marTop w:val="0"/>
                      <w:marBottom w:val="0"/>
                      <w:divBdr>
                        <w:top w:val="none" w:sz="0" w:space="0" w:color="auto"/>
                        <w:left w:val="none" w:sz="0" w:space="0" w:color="auto"/>
                        <w:bottom w:val="none" w:sz="0" w:space="0" w:color="auto"/>
                        <w:right w:val="none" w:sz="0" w:space="0" w:color="auto"/>
                      </w:divBdr>
                      <w:divsChild>
                        <w:div w:id="2143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Guidance on Credentialing and TOEFL Requirements for Physical Therapy Graduates of Schools Not Approved by CAPTE</dc:title>
  <dc:subject/>
  <dc:creator>Tillman Wolf, Corie (DHP)</dc:creator>
  <cp:keywords>guidance, credentialing, physical therapy</cp:keywords>
  <dc:description>Board Guidance on Credentialing and TOEFL Requirements for Physical Therapy Graduates of Schools Not Approved by CAPTE</dc:description>
  <cp:lastModifiedBy>VITA Program</cp:lastModifiedBy>
  <cp:revision>3</cp:revision>
  <dcterms:created xsi:type="dcterms:W3CDTF">2021-10-12T12:18:00Z</dcterms:created>
  <dcterms:modified xsi:type="dcterms:W3CDTF">2021-10-12T12:23:00Z</dcterms:modified>
</cp:coreProperties>
</file>