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2A6C" w14:textId="77777777" w:rsidR="0016798A" w:rsidRDefault="0016798A" w:rsidP="004A30DF">
      <w:pPr>
        <w:spacing w:before="240"/>
        <w:jc w:val="center"/>
        <w:rPr>
          <w:rFonts w:ascii="Times New Roman" w:hAnsi="Times New Roman" w:cs="Times New Roman"/>
          <w:b/>
          <w:sz w:val="32"/>
          <w:szCs w:val="32"/>
          <w:u w:val="single"/>
        </w:rPr>
      </w:pPr>
      <w:r w:rsidRPr="004A30DF">
        <w:rPr>
          <w:rFonts w:ascii="Times New Roman" w:hAnsi="Times New Roman" w:cs="Times New Roman"/>
          <w:b/>
          <w:sz w:val="32"/>
          <w:szCs w:val="32"/>
          <w:u w:val="single"/>
        </w:rPr>
        <w:t>Continuity of Care</w:t>
      </w:r>
    </w:p>
    <w:p w14:paraId="0FC82E61" w14:textId="77777777" w:rsidR="00544D2E" w:rsidRPr="00544D2E" w:rsidRDefault="00544D2E" w:rsidP="004A30DF">
      <w:pPr>
        <w:spacing w:before="240"/>
        <w:jc w:val="center"/>
        <w:rPr>
          <w:rFonts w:ascii="Times New Roman" w:hAnsi="Times New Roman" w:cs="Times New Roman"/>
          <w:b/>
          <w:sz w:val="20"/>
          <w:szCs w:val="20"/>
          <w:u w:val="single"/>
        </w:rPr>
      </w:pPr>
    </w:p>
    <w:p w14:paraId="0DA7FB1D" w14:textId="77777777" w:rsidR="00885F08" w:rsidRPr="004A30DF" w:rsidRDefault="00885F08" w:rsidP="00885F08">
      <w:pPr>
        <w:autoSpaceDE w:val="0"/>
        <w:autoSpaceDN w:val="0"/>
        <w:adjustRightInd w:val="0"/>
        <w:spacing w:after="0" w:line="240" w:lineRule="auto"/>
        <w:rPr>
          <w:rFonts w:ascii="Times New Roman" w:hAnsi="Times New Roman" w:cs="Times New Roman"/>
          <w:b/>
          <w:bCs/>
          <w:sz w:val="24"/>
          <w:szCs w:val="24"/>
        </w:rPr>
      </w:pPr>
      <w:r w:rsidRPr="004A30DF">
        <w:rPr>
          <w:rFonts w:ascii="Times New Roman" w:hAnsi="Times New Roman" w:cs="Times New Roman"/>
          <w:b/>
          <w:bCs/>
          <w:sz w:val="24"/>
          <w:szCs w:val="24"/>
        </w:rPr>
        <w:t xml:space="preserve">Can </w:t>
      </w:r>
      <w:r w:rsidR="00A902D9">
        <w:rPr>
          <w:rFonts w:ascii="Times New Roman" w:hAnsi="Times New Roman" w:cs="Times New Roman"/>
          <w:b/>
          <w:bCs/>
          <w:sz w:val="24"/>
          <w:szCs w:val="24"/>
        </w:rPr>
        <w:t>an out-of-state Licensed Clinical Social Worker (LCSW)</w:t>
      </w:r>
      <w:r w:rsidRPr="004A30DF">
        <w:rPr>
          <w:rFonts w:ascii="Times New Roman" w:hAnsi="Times New Roman" w:cs="Times New Roman"/>
          <w:b/>
          <w:bCs/>
          <w:sz w:val="24"/>
          <w:szCs w:val="24"/>
        </w:rPr>
        <w:t xml:space="preserve"> provide continuity of care</w:t>
      </w:r>
      <w:r w:rsidR="00206B31" w:rsidRPr="004A30DF">
        <w:rPr>
          <w:rFonts w:ascii="Times New Roman" w:hAnsi="Times New Roman" w:cs="Times New Roman"/>
          <w:b/>
          <w:bCs/>
          <w:sz w:val="24"/>
          <w:szCs w:val="24"/>
        </w:rPr>
        <w:t xml:space="preserve"> to clients in Virginia</w:t>
      </w:r>
      <w:r w:rsidRPr="004A30DF">
        <w:rPr>
          <w:rFonts w:ascii="Times New Roman" w:hAnsi="Times New Roman" w:cs="Times New Roman"/>
          <w:b/>
          <w:bCs/>
          <w:sz w:val="24"/>
          <w:szCs w:val="24"/>
        </w:rPr>
        <w:t>?</w:t>
      </w:r>
    </w:p>
    <w:p w14:paraId="005930AD" w14:textId="77777777" w:rsidR="00544D2E" w:rsidRDefault="00544D2E" w:rsidP="00544D2E">
      <w:pPr>
        <w:rPr>
          <w:rFonts w:ascii="Times New Roman" w:hAnsi="Times New Roman" w:cs="Times New Roman"/>
          <w:sz w:val="24"/>
          <w:szCs w:val="24"/>
        </w:rPr>
      </w:pPr>
      <w:r w:rsidRPr="004A30DF">
        <w:rPr>
          <w:rFonts w:ascii="Times New Roman" w:hAnsi="Times New Roman" w:cs="Times New Roman"/>
          <w:bCs/>
          <w:sz w:val="24"/>
          <w:szCs w:val="24"/>
        </w:rPr>
        <w:t>House bill 537</w:t>
      </w:r>
      <w:r w:rsidRPr="004A30DF">
        <w:rPr>
          <w:rFonts w:ascii="Times New Roman" w:hAnsi="Times New Roman" w:cs="Times New Roman"/>
          <w:b/>
          <w:bCs/>
          <w:sz w:val="24"/>
          <w:szCs w:val="24"/>
        </w:rPr>
        <w:t xml:space="preserve"> </w:t>
      </w:r>
      <w:r w:rsidRPr="004A30DF">
        <w:rPr>
          <w:rFonts w:ascii="Times New Roman" w:hAnsi="Times New Roman" w:cs="Times New Roman"/>
          <w:sz w:val="24"/>
          <w:szCs w:val="24"/>
        </w:rPr>
        <w:t xml:space="preserve">allows telehealth treatment into Virginia by </w:t>
      </w:r>
      <w:r>
        <w:rPr>
          <w:rFonts w:ascii="Times New Roman" w:hAnsi="Times New Roman" w:cs="Times New Roman"/>
          <w:sz w:val="24"/>
          <w:szCs w:val="24"/>
        </w:rPr>
        <w:t>out-of-state LCSWs</w:t>
      </w:r>
      <w:r w:rsidRPr="004A30DF">
        <w:rPr>
          <w:rFonts w:ascii="Times New Roman" w:hAnsi="Times New Roman" w:cs="Times New Roman"/>
          <w:sz w:val="24"/>
          <w:szCs w:val="24"/>
        </w:rPr>
        <w:t xml:space="preserve"> providing behavioral health services </w:t>
      </w:r>
      <w:r>
        <w:rPr>
          <w:rFonts w:ascii="Times New Roman" w:hAnsi="Times New Roman" w:cs="Times New Roman"/>
          <w:sz w:val="24"/>
          <w:szCs w:val="24"/>
        </w:rPr>
        <w:t xml:space="preserve">to a client in Virginia. </w:t>
      </w:r>
    </w:p>
    <w:p w14:paraId="78AD059B" w14:textId="77777777" w:rsidR="00544D2E" w:rsidRDefault="00544D2E" w:rsidP="00544D2E">
      <w:pPr>
        <w:rPr>
          <w:rFonts w:ascii="Times New Roman" w:hAnsi="Times New Roman" w:cs="Times New Roman"/>
          <w:sz w:val="24"/>
          <w:szCs w:val="24"/>
        </w:rPr>
      </w:pPr>
      <w:r>
        <w:rPr>
          <w:rFonts w:ascii="Times New Roman" w:hAnsi="Times New Roman" w:cs="Times New Roman"/>
          <w:sz w:val="24"/>
          <w:szCs w:val="24"/>
        </w:rPr>
        <w:t xml:space="preserve">As of July 1, 2022, an out-of-state LCSW can provide </w:t>
      </w:r>
      <w:r w:rsidRPr="004A30DF">
        <w:rPr>
          <w:rFonts w:ascii="Times New Roman" w:hAnsi="Times New Roman" w:cs="Times New Roman"/>
          <w:sz w:val="24"/>
          <w:szCs w:val="24"/>
        </w:rPr>
        <w:t xml:space="preserve">continuity of care </w:t>
      </w:r>
      <w:r>
        <w:rPr>
          <w:rFonts w:ascii="Times New Roman" w:hAnsi="Times New Roman" w:cs="Times New Roman"/>
          <w:sz w:val="24"/>
          <w:szCs w:val="24"/>
        </w:rPr>
        <w:t xml:space="preserve">via telehealth </w:t>
      </w:r>
      <w:r w:rsidRPr="004A30DF">
        <w:rPr>
          <w:rFonts w:ascii="Times New Roman" w:hAnsi="Times New Roman" w:cs="Times New Roman"/>
          <w:sz w:val="24"/>
          <w:szCs w:val="24"/>
        </w:rPr>
        <w:t xml:space="preserve">to their </w:t>
      </w:r>
      <w:r>
        <w:rPr>
          <w:rFonts w:ascii="Times New Roman" w:hAnsi="Times New Roman" w:cs="Times New Roman"/>
          <w:sz w:val="24"/>
          <w:szCs w:val="24"/>
        </w:rPr>
        <w:t>clients located in Virginia for up to one year</w:t>
      </w:r>
      <w:r w:rsidRPr="004A30DF">
        <w:rPr>
          <w:rFonts w:ascii="Times New Roman" w:hAnsi="Times New Roman" w:cs="Times New Roman"/>
          <w:sz w:val="24"/>
          <w:szCs w:val="24"/>
        </w:rPr>
        <w:t xml:space="preserve">. The limitations are that the patient-practitioner relationship must have been previously established and the telehealth visits are limited to </w:t>
      </w:r>
      <w:r>
        <w:rPr>
          <w:rFonts w:ascii="Times New Roman" w:hAnsi="Times New Roman" w:cs="Times New Roman"/>
          <w:sz w:val="24"/>
          <w:szCs w:val="24"/>
        </w:rPr>
        <w:t xml:space="preserve">a maximum of </w:t>
      </w:r>
      <w:r w:rsidRPr="004A30DF">
        <w:rPr>
          <w:rFonts w:ascii="Times New Roman" w:hAnsi="Times New Roman" w:cs="Times New Roman"/>
          <w:sz w:val="24"/>
          <w:szCs w:val="24"/>
        </w:rPr>
        <w:t>one year.</w:t>
      </w:r>
      <w:r>
        <w:rPr>
          <w:rFonts w:ascii="Times New Roman" w:hAnsi="Times New Roman" w:cs="Times New Roman"/>
          <w:sz w:val="24"/>
          <w:szCs w:val="24"/>
        </w:rPr>
        <w:t xml:space="preserve"> </w:t>
      </w:r>
    </w:p>
    <w:p w14:paraId="20BD0452" w14:textId="77777777" w:rsidR="00885F08" w:rsidRPr="004A30DF" w:rsidRDefault="00885F08" w:rsidP="00885F08">
      <w:pPr>
        <w:autoSpaceDE w:val="0"/>
        <w:autoSpaceDN w:val="0"/>
        <w:adjustRightInd w:val="0"/>
        <w:spacing w:after="0" w:line="240" w:lineRule="auto"/>
        <w:rPr>
          <w:rFonts w:ascii="Times New Roman" w:hAnsi="Times New Roman" w:cs="Times New Roman"/>
          <w:b/>
          <w:bCs/>
          <w:sz w:val="24"/>
          <w:szCs w:val="24"/>
        </w:rPr>
      </w:pPr>
    </w:p>
    <w:p w14:paraId="0E5B8D24" w14:textId="77777777" w:rsidR="00206B31" w:rsidRPr="004A30DF" w:rsidRDefault="00206B31" w:rsidP="00885F08">
      <w:pPr>
        <w:autoSpaceDE w:val="0"/>
        <w:autoSpaceDN w:val="0"/>
        <w:adjustRightInd w:val="0"/>
        <w:spacing w:after="0" w:line="240" w:lineRule="auto"/>
        <w:rPr>
          <w:rFonts w:ascii="Times New Roman" w:hAnsi="Times New Roman" w:cs="Times New Roman"/>
          <w:bCs/>
          <w:sz w:val="24"/>
          <w:szCs w:val="24"/>
        </w:rPr>
      </w:pPr>
      <w:r w:rsidRPr="004A30DF">
        <w:rPr>
          <w:rFonts w:ascii="Times New Roman" w:hAnsi="Times New Roman" w:cs="Times New Roman"/>
          <w:bCs/>
          <w:sz w:val="24"/>
          <w:szCs w:val="24"/>
        </w:rPr>
        <w:t xml:space="preserve">Effective July 1, 2022, the </w:t>
      </w:r>
      <w:r w:rsidR="003B787F">
        <w:rPr>
          <w:rFonts w:ascii="Times New Roman" w:hAnsi="Times New Roman" w:cs="Times New Roman"/>
          <w:bCs/>
          <w:sz w:val="24"/>
          <w:szCs w:val="24"/>
        </w:rPr>
        <w:t>Virginia Code § 54.1-3601</w:t>
      </w:r>
      <w:r w:rsidR="00A902D9">
        <w:rPr>
          <w:rFonts w:ascii="Times New Roman" w:hAnsi="Times New Roman" w:cs="Times New Roman"/>
          <w:bCs/>
          <w:sz w:val="24"/>
          <w:szCs w:val="24"/>
        </w:rPr>
        <w:t>.6</w:t>
      </w:r>
      <w:r w:rsidR="00885F08" w:rsidRPr="004A30DF">
        <w:rPr>
          <w:rFonts w:ascii="Times New Roman" w:hAnsi="Times New Roman" w:cs="Times New Roman"/>
          <w:bCs/>
          <w:sz w:val="24"/>
          <w:szCs w:val="24"/>
        </w:rPr>
        <w:t xml:space="preserve"> </w:t>
      </w:r>
      <w:r w:rsidRPr="004A30DF">
        <w:rPr>
          <w:rFonts w:ascii="Times New Roman" w:hAnsi="Times New Roman" w:cs="Times New Roman"/>
          <w:bCs/>
          <w:sz w:val="24"/>
          <w:szCs w:val="24"/>
        </w:rPr>
        <w:t>will state:</w:t>
      </w:r>
    </w:p>
    <w:p w14:paraId="69425F43" w14:textId="77777777" w:rsidR="00A902D9" w:rsidRDefault="00A902D9" w:rsidP="00A902D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Any person who is licensed to practice as a clinical social worker in another state, the </w:t>
      </w:r>
      <w:proofErr w:type="gramStart"/>
      <w:r>
        <w:rPr>
          <w:rFonts w:ascii="Times New Roman" w:hAnsi="Times New Roman" w:cs="Times New Roman"/>
          <w:i/>
          <w:iCs/>
        </w:rPr>
        <w:t>District</w:t>
      </w:r>
      <w:proofErr w:type="gramEnd"/>
      <w:r>
        <w:rPr>
          <w:rFonts w:ascii="Times New Roman" w:hAnsi="Times New Roman" w:cs="Times New Roman"/>
          <w:i/>
          <w:iCs/>
        </w:rPr>
        <w:t xml:space="preserve"> of</w:t>
      </w:r>
    </w:p>
    <w:p w14:paraId="324D8E98" w14:textId="77777777" w:rsidR="00A902D9" w:rsidRDefault="00A902D9" w:rsidP="00A902D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Columbia, or a United States territory or possession and who is in good standing with the applicable</w:t>
      </w:r>
    </w:p>
    <w:p w14:paraId="64641D5B" w14:textId="77777777" w:rsidR="00A902D9" w:rsidRDefault="00A902D9" w:rsidP="00A902D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regulatory agency in that state, the District of Columbia, or that United States territory or possession</w:t>
      </w:r>
    </w:p>
    <w:p w14:paraId="6FC7187A" w14:textId="77777777" w:rsidR="00A902D9" w:rsidRDefault="00A902D9" w:rsidP="00A902D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who provides behavioral health services, as defined in § 37.2-100, to a patient located in the</w:t>
      </w:r>
    </w:p>
    <w:p w14:paraId="4402FA27" w14:textId="77777777" w:rsidR="00A902D9" w:rsidRDefault="00A902D9" w:rsidP="00A902D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Commonwealth when (</w:t>
      </w:r>
      <w:proofErr w:type="spellStart"/>
      <w:r>
        <w:rPr>
          <w:rFonts w:ascii="Times New Roman" w:hAnsi="Times New Roman" w:cs="Times New Roman"/>
          <w:i/>
          <w:iCs/>
        </w:rPr>
        <w:t>i</w:t>
      </w:r>
      <w:proofErr w:type="spellEnd"/>
      <w:r>
        <w:rPr>
          <w:rFonts w:ascii="Times New Roman" w:hAnsi="Times New Roman" w:cs="Times New Roman"/>
          <w:i/>
          <w:iCs/>
        </w:rPr>
        <w:t xml:space="preserve">) such practice is for the purpose of providing continuity of care through the </w:t>
      </w:r>
      <w:proofErr w:type="gramStart"/>
      <w:r>
        <w:rPr>
          <w:rFonts w:ascii="Times New Roman" w:hAnsi="Times New Roman" w:cs="Times New Roman"/>
          <w:i/>
          <w:iCs/>
        </w:rPr>
        <w:t>use</w:t>
      </w:r>
      <w:proofErr w:type="gramEnd"/>
    </w:p>
    <w:p w14:paraId="4143917F" w14:textId="77777777" w:rsidR="00A902D9" w:rsidRDefault="00A902D9" w:rsidP="00A902D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of telemedicine services as defined in § 38.2-3418.16 and (ii) the clinical social worker has previously</w:t>
      </w:r>
    </w:p>
    <w:p w14:paraId="58317B1E" w14:textId="77777777" w:rsidR="00A902D9" w:rsidRDefault="00A902D9" w:rsidP="00A902D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established a practitioner-patient relationship with the patient. A person who is licensed to practice as</w:t>
      </w:r>
    </w:p>
    <w:p w14:paraId="7D4D20C3" w14:textId="77777777" w:rsidR="00A902D9" w:rsidRDefault="00A902D9" w:rsidP="00A902D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clinical social worker who provides behavioral health services to a patient located in the</w:t>
      </w:r>
    </w:p>
    <w:p w14:paraId="12EEC424" w14:textId="77777777" w:rsidR="00A902D9" w:rsidRDefault="00A902D9" w:rsidP="00A902D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Commonwealth through use of telemedicine services pursuant to this subdivision may provide </w:t>
      </w:r>
      <w:proofErr w:type="gramStart"/>
      <w:r>
        <w:rPr>
          <w:rFonts w:ascii="Times New Roman" w:hAnsi="Times New Roman" w:cs="Times New Roman"/>
          <w:i/>
          <w:iCs/>
        </w:rPr>
        <w:t>such</w:t>
      </w:r>
      <w:proofErr w:type="gramEnd"/>
    </w:p>
    <w:p w14:paraId="6CE750BF" w14:textId="77777777" w:rsidR="00A902D9" w:rsidRDefault="00A902D9" w:rsidP="00A902D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services for a period of no more than one year from the date on which the clinical social worker began providing such services to such patient.</w:t>
      </w:r>
    </w:p>
    <w:p w14:paraId="0111AE05" w14:textId="77777777" w:rsidR="00A902D9" w:rsidRDefault="00A902D9" w:rsidP="00A902D9">
      <w:pPr>
        <w:autoSpaceDE w:val="0"/>
        <w:autoSpaceDN w:val="0"/>
        <w:adjustRightInd w:val="0"/>
        <w:spacing w:after="0" w:line="240" w:lineRule="auto"/>
        <w:rPr>
          <w:rFonts w:ascii="Times New Roman" w:hAnsi="Times New Roman" w:cs="Times New Roman"/>
          <w:i/>
          <w:iCs/>
        </w:rPr>
      </w:pPr>
    </w:p>
    <w:p w14:paraId="1E4DA865" w14:textId="77777777" w:rsidR="00544D2E" w:rsidRDefault="00544D2E" w:rsidP="00A902D9">
      <w:pPr>
        <w:autoSpaceDE w:val="0"/>
        <w:autoSpaceDN w:val="0"/>
        <w:adjustRightInd w:val="0"/>
        <w:spacing w:after="0" w:line="240" w:lineRule="auto"/>
        <w:rPr>
          <w:rFonts w:ascii="Times New Roman" w:hAnsi="Times New Roman" w:cs="Times New Roman"/>
          <w:i/>
          <w:iCs/>
        </w:rPr>
      </w:pPr>
    </w:p>
    <w:p w14:paraId="2441F579" w14:textId="77777777" w:rsidR="00206B31" w:rsidRDefault="00206B31" w:rsidP="00A902D9">
      <w:pPr>
        <w:autoSpaceDE w:val="0"/>
        <w:autoSpaceDN w:val="0"/>
        <w:adjustRightInd w:val="0"/>
        <w:spacing w:after="0" w:line="240" w:lineRule="auto"/>
        <w:rPr>
          <w:rFonts w:ascii="Times New Roman" w:hAnsi="Times New Roman" w:cs="Times New Roman"/>
          <w:b/>
          <w:sz w:val="24"/>
          <w:szCs w:val="24"/>
        </w:rPr>
      </w:pPr>
      <w:r w:rsidRPr="004A30DF">
        <w:rPr>
          <w:rFonts w:ascii="Times New Roman" w:hAnsi="Times New Roman" w:cs="Times New Roman"/>
          <w:b/>
          <w:sz w:val="24"/>
          <w:szCs w:val="24"/>
        </w:rPr>
        <w:t xml:space="preserve">Can Virginia </w:t>
      </w:r>
      <w:r w:rsidR="00A902D9">
        <w:rPr>
          <w:rFonts w:ascii="Times New Roman" w:hAnsi="Times New Roman" w:cs="Times New Roman"/>
          <w:b/>
          <w:sz w:val="24"/>
          <w:szCs w:val="24"/>
        </w:rPr>
        <w:t>LCSWs</w:t>
      </w:r>
      <w:r w:rsidRPr="004A30DF">
        <w:rPr>
          <w:rFonts w:ascii="Times New Roman" w:hAnsi="Times New Roman" w:cs="Times New Roman"/>
          <w:b/>
          <w:sz w:val="24"/>
          <w:szCs w:val="24"/>
        </w:rPr>
        <w:t xml:space="preserve"> provide continuity of care to clients located in another state? </w:t>
      </w:r>
    </w:p>
    <w:p w14:paraId="1172EC94" w14:textId="77777777" w:rsidR="00A902D9" w:rsidRPr="00A902D9" w:rsidRDefault="00A902D9" w:rsidP="00A902D9">
      <w:pPr>
        <w:autoSpaceDE w:val="0"/>
        <w:autoSpaceDN w:val="0"/>
        <w:adjustRightInd w:val="0"/>
        <w:spacing w:after="0" w:line="240" w:lineRule="auto"/>
        <w:rPr>
          <w:rFonts w:ascii="Times New Roman" w:hAnsi="Times New Roman" w:cs="Times New Roman"/>
          <w:sz w:val="24"/>
          <w:szCs w:val="24"/>
        </w:rPr>
      </w:pPr>
      <w:r w:rsidRPr="00A902D9">
        <w:rPr>
          <w:rFonts w:ascii="Times New Roman" w:hAnsi="Times New Roman" w:cs="Times New Roman"/>
          <w:sz w:val="24"/>
          <w:szCs w:val="24"/>
        </w:rPr>
        <w:t>Licensees should check with the State Board in which the client is located for their requirements.</w:t>
      </w:r>
    </w:p>
    <w:p w14:paraId="00EA9BC9" w14:textId="77777777" w:rsidR="00544D2E" w:rsidRDefault="00544D2E" w:rsidP="004A30DF">
      <w:pPr>
        <w:spacing w:before="240"/>
        <w:jc w:val="center"/>
        <w:rPr>
          <w:rFonts w:ascii="Times New Roman" w:hAnsi="Times New Roman" w:cs="Times New Roman"/>
          <w:b/>
          <w:sz w:val="32"/>
          <w:szCs w:val="32"/>
          <w:u w:val="single"/>
        </w:rPr>
      </w:pPr>
    </w:p>
    <w:p w14:paraId="436717B8" w14:textId="77777777" w:rsidR="00843C44" w:rsidRPr="004A30DF" w:rsidRDefault="00843C44" w:rsidP="004A30DF">
      <w:pPr>
        <w:spacing w:before="240"/>
        <w:jc w:val="center"/>
        <w:rPr>
          <w:rFonts w:ascii="Times New Roman" w:hAnsi="Times New Roman" w:cs="Times New Roman"/>
          <w:b/>
          <w:sz w:val="32"/>
          <w:szCs w:val="32"/>
          <w:u w:val="single"/>
        </w:rPr>
      </w:pPr>
      <w:r w:rsidRPr="004A30DF">
        <w:rPr>
          <w:rFonts w:ascii="Times New Roman" w:hAnsi="Times New Roman" w:cs="Times New Roman"/>
          <w:b/>
          <w:sz w:val="32"/>
          <w:szCs w:val="32"/>
          <w:u w:val="single"/>
        </w:rPr>
        <w:t>Temporary Authorization to Practice</w:t>
      </w:r>
    </w:p>
    <w:p w14:paraId="6505B7AF" w14:textId="77777777" w:rsidR="0016798A" w:rsidRPr="004A30DF" w:rsidRDefault="00843C44" w:rsidP="00442F7A">
      <w:pPr>
        <w:autoSpaceDE w:val="0"/>
        <w:autoSpaceDN w:val="0"/>
        <w:adjustRightInd w:val="0"/>
        <w:spacing w:after="0" w:line="240" w:lineRule="auto"/>
        <w:jc w:val="both"/>
        <w:rPr>
          <w:rFonts w:ascii="Times New Roman" w:hAnsi="Times New Roman" w:cs="Times New Roman"/>
          <w:b/>
          <w:sz w:val="24"/>
          <w:szCs w:val="24"/>
        </w:rPr>
      </w:pPr>
      <w:r w:rsidRPr="004A30DF">
        <w:rPr>
          <w:rFonts w:ascii="Times New Roman" w:hAnsi="Times New Roman" w:cs="Times New Roman"/>
          <w:b/>
          <w:sz w:val="24"/>
          <w:szCs w:val="24"/>
        </w:rPr>
        <w:t xml:space="preserve">Who can apply for temporary authorization to practice? </w:t>
      </w:r>
    </w:p>
    <w:p w14:paraId="2764AD5C" w14:textId="77777777" w:rsidR="0016798A" w:rsidRPr="004A30DF" w:rsidRDefault="0016798A" w:rsidP="00442F7A">
      <w:pPr>
        <w:autoSpaceDE w:val="0"/>
        <w:autoSpaceDN w:val="0"/>
        <w:adjustRightInd w:val="0"/>
        <w:spacing w:after="0" w:line="240" w:lineRule="auto"/>
        <w:jc w:val="both"/>
        <w:rPr>
          <w:rFonts w:ascii="Times New Roman" w:hAnsi="Times New Roman" w:cs="Times New Roman"/>
          <w:b/>
          <w:color w:val="000000"/>
          <w:sz w:val="24"/>
          <w:szCs w:val="24"/>
        </w:rPr>
      </w:pPr>
      <w:r w:rsidRPr="004A30DF">
        <w:rPr>
          <w:rFonts w:ascii="Times New Roman" w:hAnsi="Times New Roman" w:cs="Times New Roman"/>
          <w:color w:val="000000"/>
          <w:sz w:val="24"/>
          <w:szCs w:val="24"/>
        </w:rPr>
        <w:t xml:space="preserve">Virginia Code § 54.1-2408.4, enacted by Chapter 464 of the 2022 Acts of Assembly, permits health care practitioners licensed, certified, or registered in another state or the District of Columbia to temporarily practice in the Commonwealth for 90 days provided certain provisions are met. </w:t>
      </w:r>
      <w:r w:rsidRPr="004A30DF">
        <w:rPr>
          <w:rFonts w:ascii="Times New Roman" w:hAnsi="Times New Roman" w:cs="Times New Roman"/>
          <w:color w:val="000000"/>
          <w:sz w:val="24"/>
          <w:szCs w:val="24"/>
        </w:rPr>
        <w:lastRenderedPageBreak/>
        <w:t xml:space="preserve">Licensed </w:t>
      </w:r>
      <w:r w:rsidR="00A902D9">
        <w:rPr>
          <w:rFonts w:ascii="Times New Roman" w:hAnsi="Times New Roman" w:cs="Times New Roman"/>
          <w:color w:val="000000"/>
          <w:sz w:val="24"/>
          <w:szCs w:val="24"/>
        </w:rPr>
        <w:t>Clinical Social Workers (LCSW)</w:t>
      </w:r>
      <w:r w:rsidRPr="004A30DF">
        <w:rPr>
          <w:rFonts w:ascii="Times New Roman" w:hAnsi="Times New Roman" w:cs="Times New Roman"/>
          <w:color w:val="000000"/>
          <w:sz w:val="24"/>
          <w:szCs w:val="24"/>
        </w:rPr>
        <w:t xml:space="preserve"> may </w:t>
      </w:r>
      <w:r w:rsidRPr="004A30DF">
        <w:rPr>
          <w:rFonts w:ascii="Times New Roman" w:hAnsi="Times New Roman" w:cs="Times New Roman"/>
          <w:b/>
          <w:color w:val="000000"/>
          <w:sz w:val="24"/>
          <w:szCs w:val="24"/>
          <w:u w:val="single"/>
        </w:rPr>
        <w:t>only</w:t>
      </w:r>
      <w:r w:rsidRPr="004A30DF">
        <w:rPr>
          <w:rFonts w:ascii="Times New Roman" w:hAnsi="Times New Roman" w:cs="Times New Roman"/>
          <w:color w:val="000000"/>
          <w:sz w:val="24"/>
          <w:szCs w:val="24"/>
        </w:rPr>
        <w:t xml:space="preserve"> practice temporarily for 90 days after receiving an offer of employment or contract for services from: </w:t>
      </w:r>
      <w:r w:rsidRPr="004A30DF">
        <w:rPr>
          <w:rFonts w:ascii="Times New Roman" w:hAnsi="Times New Roman" w:cs="Times New Roman"/>
          <w:b/>
          <w:color w:val="000000"/>
          <w:sz w:val="24"/>
          <w:szCs w:val="24"/>
          <w:u w:val="single"/>
        </w:rPr>
        <w:t>(1) a hospital licensed by the Virginia Department of Health, (2) a nursing home, (3) a dialysis facility, (4) the Virginia Department of Health, or (5) a local health department</w:t>
      </w:r>
      <w:r w:rsidRPr="004A30DF">
        <w:rPr>
          <w:rFonts w:ascii="Times New Roman" w:hAnsi="Times New Roman" w:cs="Times New Roman"/>
          <w:b/>
          <w:color w:val="000000"/>
          <w:sz w:val="24"/>
          <w:szCs w:val="24"/>
        </w:rPr>
        <w:t xml:space="preserve">. </w:t>
      </w:r>
    </w:p>
    <w:p w14:paraId="5C5B74C4" w14:textId="77777777" w:rsidR="0016798A" w:rsidRPr="004A30DF" w:rsidRDefault="0016798A" w:rsidP="0016798A">
      <w:pPr>
        <w:autoSpaceDE w:val="0"/>
        <w:autoSpaceDN w:val="0"/>
        <w:adjustRightInd w:val="0"/>
        <w:spacing w:after="0" w:line="240" w:lineRule="auto"/>
        <w:ind w:left="720"/>
        <w:jc w:val="both"/>
        <w:rPr>
          <w:rFonts w:ascii="Times New Roman" w:hAnsi="Times New Roman" w:cs="Times New Roman"/>
          <w:b/>
          <w:color w:val="000000"/>
          <w:sz w:val="24"/>
          <w:szCs w:val="24"/>
        </w:rPr>
      </w:pPr>
    </w:p>
    <w:p w14:paraId="3B9B74F2" w14:textId="77777777" w:rsidR="0016798A" w:rsidRPr="00544D2E" w:rsidRDefault="0016798A" w:rsidP="00727BDF">
      <w:pPr>
        <w:autoSpaceDE w:val="0"/>
        <w:autoSpaceDN w:val="0"/>
        <w:adjustRightInd w:val="0"/>
        <w:spacing w:after="0" w:line="240" w:lineRule="auto"/>
        <w:jc w:val="both"/>
        <w:rPr>
          <w:rFonts w:ascii="Times New Roman" w:hAnsi="Times New Roman" w:cs="Times New Roman"/>
          <w:b/>
          <w:color w:val="000000"/>
          <w:sz w:val="24"/>
          <w:szCs w:val="24"/>
        </w:rPr>
      </w:pPr>
      <w:r w:rsidRPr="00544D2E">
        <w:rPr>
          <w:rFonts w:ascii="Times New Roman" w:hAnsi="Times New Roman" w:cs="Times New Roman"/>
          <w:sz w:val="24"/>
          <w:szCs w:val="24"/>
        </w:rPr>
        <w:t xml:space="preserve">Eligible employers and contract service recipients must fill out the </w:t>
      </w:r>
      <w:hyperlink r:id="rId7" w:history="1">
        <w:r w:rsidR="00544D2E" w:rsidRPr="00544D2E">
          <w:rPr>
            <w:rStyle w:val="Hyperlink"/>
            <w:rFonts w:ascii="Times New Roman" w:hAnsi="Times New Roman" w:cs="Times New Roman"/>
            <w:sz w:val="24"/>
            <w:szCs w:val="24"/>
            <w:shd w:val="clear" w:color="auto" w:fill="FFFFFF"/>
          </w:rPr>
          <w:t>Out-of-state temporary practitioner reporting form</w:t>
        </w:r>
      </w:hyperlink>
      <w:r w:rsidRPr="00544D2E">
        <w:rPr>
          <w:rFonts w:ascii="Times New Roman" w:hAnsi="Times New Roman" w:cs="Times New Roman"/>
          <w:sz w:val="24"/>
          <w:szCs w:val="24"/>
        </w:rPr>
        <w:t xml:space="preserve"> before the practitioner begins temporarily practicing in</w:t>
      </w:r>
      <w:r w:rsidR="007954B2" w:rsidRPr="00544D2E">
        <w:rPr>
          <w:rFonts w:ascii="Times New Roman" w:hAnsi="Times New Roman" w:cs="Times New Roman"/>
          <w:sz w:val="24"/>
          <w:szCs w:val="24"/>
        </w:rPr>
        <w:t xml:space="preserve"> </w:t>
      </w:r>
      <w:r w:rsidRPr="00544D2E">
        <w:rPr>
          <w:rFonts w:ascii="Times New Roman" w:hAnsi="Times New Roman" w:cs="Times New Roman"/>
          <w:sz w:val="24"/>
          <w:szCs w:val="24"/>
        </w:rPr>
        <w:t>Virginia.</w:t>
      </w:r>
    </w:p>
    <w:sectPr w:rsidR="0016798A" w:rsidRPr="00544D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8B57" w14:textId="77777777" w:rsidR="00C37F83" w:rsidRDefault="00C37F83" w:rsidP="00C37F83">
      <w:pPr>
        <w:spacing w:after="0" w:line="240" w:lineRule="auto"/>
      </w:pPr>
      <w:r>
        <w:separator/>
      </w:r>
    </w:p>
  </w:endnote>
  <w:endnote w:type="continuationSeparator" w:id="0">
    <w:p w14:paraId="006DAEC8" w14:textId="77777777" w:rsidR="00C37F83" w:rsidRDefault="00C37F83" w:rsidP="00C3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794415"/>
      <w:docPartObj>
        <w:docPartGallery w:val="Page Numbers (Bottom of Page)"/>
        <w:docPartUnique/>
      </w:docPartObj>
    </w:sdtPr>
    <w:sdtEndPr>
      <w:rPr>
        <w:color w:val="7F7F7F" w:themeColor="background1" w:themeShade="7F"/>
        <w:spacing w:val="60"/>
      </w:rPr>
    </w:sdtEndPr>
    <w:sdtContent>
      <w:p w14:paraId="045DBB8A" w14:textId="77777777" w:rsidR="00C37F83" w:rsidRDefault="00C37F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4D2E" w:rsidRPr="00544D2E">
          <w:rPr>
            <w:b/>
            <w:bCs/>
            <w:noProof/>
          </w:rPr>
          <w:t>1</w:t>
        </w:r>
        <w:r>
          <w:rPr>
            <w:b/>
            <w:bCs/>
            <w:noProof/>
          </w:rPr>
          <w:fldChar w:fldCharType="end"/>
        </w:r>
        <w:r>
          <w:rPr>
            <w:b/>
            <w:bCs/>
          </w:rPr>
          <w:t xml:space="preserve"> | </w:t>
        </w:r>
        <w:r>
          <w:rPr>
            <w:color w:val="7F7F7F" w:themeColor="background1" w:themeShade="7F"/>
            <w:spacing w:val="60"/>
          </w:rPr>
          <w:t>Page</w:t>
        </w:r>
      </w:p>
    </w:sdtContent>
  </w:sdt>
  <w:p w14:paraId="1AF05EC6" w14:textId="77777777" w:rsidR="00C37F83" w:rsidRDefault="00C3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3769" w14:textId="77777777" w:rsidR="00C37F83" w:rsidRDefault="00C37F83" w:rsidP="00C37F83">
      <w:pPr>
        <w:spacing w:after="0" w:line="240" w:lineRule="auto"/>
      </w:pPr>
      <w:r>
        <w:separator/>
      </w:r>
    </w:p>
  </w:footnote>
  <w:footnote w:type="continuationSeparator" w:id="0">
    <w:p w14:paraId="310F9580" w14:textId="77777777" w:rsidR="00C37F83" w:rsidRDefault="00C37F83" w:rsidP="00C3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tblInd w:w="-118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770"/>
      <w:gridCol w:w="2513"/>
      <w:gridCol w:w="4237"/>
    </w:tblGrid>
    <w:tr w:rsidR="00A902D9" w:rsidRPr="00A902D9" w14:paraId="2080C0D8" w14:textId="77777777" w:rsidTr="00EE02E1">
      <w:trPr>
        <w:trHeight w:val="869"/>
      </w:trPr>
      <w:tc>
        <w:tcPr>
          <w:tcW w:w="4770" w:type="dxa"/>
          <w:vAlign w:val="center"/>
        </w:tcPr>
        <w:p w14:paraId="71D616B4" w14:textId="77777777" w:rsidR="00A902D9" w:rsidRPr="00A902D9" w:rsidRDefault="00A902D9" w:rsidP="00A902D9">
          <w:pPr>
            <w:spacing w:after="0" w:line="240" w:lineRule="auto"/>
            <w:rPr>
              <w:rFonts w:ascii="Arial" w:eastAsia="Times New Roman" w:hAnsi="Arial" w:cs="Times New Roman"/>
              <w:sz w:val="24"/>
              <w:szCs w:val="20"/>
            </w:rPr>
          </w:pPr>
          <w:r w:rsidRPr="00A902D9">
            <w:rPr>
              <w:rFonts w:ascii="Arial" w:eastAsia="Times New Roman" w:hAnsi="Arial" w:cs="Times New Roman"/>
              <w:noProof/>
              <w:sz w:val="24"/>
              <w:szCs w:val="20"/>
            </w:rPr>
            <w:drawing>
              <wp:inline distT="0" distB="0" distL="0" distR="0" wp14:anchorId="4BC3E4F8" wp14:editId="3533E2CD">
                <wp:extent cx="3003550" cy="692150"/>
                <wp:effectExtent l="0" t="0" r="6350" b="0"/>
                <wp:docPr id="2" name="Picture 2" descr="vdhp-Social-rgb-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hp-Social-rgb-p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692150"/>
                        </a:xfrm>
                        <a:prstGeom prst="rect">
                          <a:avLst/>
                        </a:prstGeom>
                        <a:noFill/>
                        <a:ln>
                          <a:noFill/>
                        </a:ln>
                      </pic:spPr>
                    </pic:pic>
                  </a:graphicData>
                </a:graphic>
              </wp:inline>
            </w:drawing>
          </w:r>
        </w:p>
      </w:tc>
      <w:tc>
        <w:tcPr>
          <w:tcW w:w="2513" w:type="dxa"/>
          <w:vAlign w:val="center"/>
        </w:tcPr>
        <w:p w14:paraId="3D31D9CF" w14:textId="77777777" w:rsidR="00A902D9" w:rsidRPr="00A902D9" w:rsidRDefault="00A902D9" w:rsidP="00A902D9">
          <w:pPr>
            <w:spacing w:after="0" w:line="240" w:lineRule="auto"/>
            <w:rPr>
              <w:rFonts w:ascii="Arial Narrow" w:eastAsia="Times New Roman" w:hAnsi="Arial Narrow" w:cs="Arial"/>
              <w:sz w:val="20"/>
              <w:szCs w:val="20"/>
            </w:rPr>
          </w:pPr>
          <w:r w:rsidRPr="00A902D9">
            <w:rPr>
              <w:rFonts w:ascii="Arial Narrow" w:eastAsia="Times New Roman" w:hAnsi="Arial Narrow" w:cs="Arial"/>
              <w:sz w:val="20"/>
              <w:szCs w:val="20"/>
            </w:rPr>
            <w:t>Perimeter Center</w:t>
          </w:r>
        </w:p>
        <w:p w14:paraId="3C7DB756" w14:textId="77777777" w:rsidR="00A902D9" w:rsidRPr="00A902D9" w:rsidRDefault="00A902D9" w:rsidP="00A902D9">
          <w:pPr>
            <w:spacing w:after="0" w:line="240" w:lineRule="auto"/>
            <w:rPr>
              <w:rFonts w:ascii="Arial Narrow" w:eastAsia="Times New Roman" w:hAnsi="Arial Narrow" w:cs="Arial"/>
              <w:sz w:val="20"/>
              <w:szCs w:val="20"/>
            </w:rPr>
          </w:pPr>
          <w:r w:rsidRPr="00A902D9">
            <w:rPr>
              <w:rFonts w:ascii="Arial Narrow" w:eastAsia="Times New Roman" w:hAnsi="Arial Narrow" w:cs="Arial"/>
              <w:sz w:val="20"/>
              <w:szCs w:val="20"/>
            </w:rPr>
            <w:t xml:space="preserve">9960 </w:t>
          </w:r>
          <w:proofErr w:type="spellStart"/>
          <w:r w:rsidRPr="00A902D9">
            <w:rPr>
              <w:rFonts w:ascii="Arial Narrow" w:eastAsia="Times New Roman" w:hAnsi="Arial Narrow" w:cs="Arial"/>
              <w:sz w:val="20"/>
              <w:szCs w:val="20"/>
            </w:rPr>
            <w:t>Mayland</w:t>
          </w:r>
          <w:proofErr w:type="spellEnd"/>
          <w:r w:rsidRPr="00A902D9">
            <w:rPr>
              <w:rFonts w:ascii="Arial Narrow" w:eastAsia="Times New Roman" w:hAnsi="Arial Narrow" w:cs="Arial"/>
              <w:sz w:val="20"/>
              <w:szCs w:val="20"/>
            </w:rPr>
            <w:t xml:space="preserve"> Drive, Suite 300</w:t>
          </w:r>
        </w:p>
        <w:p w14:paraId="3DEF2F9D" w14:textId="77777777" w:rsidR="00A902D9" w:rsidRPr="00A902D9" w:rsidRDefault="00A902D9" w:rsidP="00EE02E1">
          <w:pPr>
            <w:spacing w:after="0" w:line="240" w:lineRule="auto"/>
            <w:ind w:left="-340" w:right="-285" w:firstLine="340"/>
            <w:rPr>
              <w:rFonts w:ascii="Arial Narrow" w:eastAsia="Times New Roman" w:hAnsi="Arial Narrow" w:cs="Times New Roman"/>
              <w:sz w:val="20"/>
              <w:szCs w:val="20"/>
            </w:rPr>
          </w:pPr>
          <w:r w:rsidRPr="00A902D9">
            <w:rPr>
              <w:rFonts w:ascii="Arial Narrow" w:eastAsia="Times New Roman" w:hAnsi="Arial Narrow" w:cs="Arial"/>
              <w:sz w:val="20"/>
              <w:szCs w:val="20"/>
            </w:rPr>
            <w:t>Henrico, VA 23233-1463</w:t>
          </w:r>
        </w:p>
        <w:p w14:paraId="1C027DEB" w14:textId="77777777" w:rsidR="00A902D9" w:rsidRPr="00A902D9" w:rsidRDefault="00A902D9" w:rsidP="00A902D9">
          <w:pPr>
            <w:spacing w:after="0" w:line="240" w:lineRule="auto"/>
            <w:ind w:right="-285"/>
            <w:rPr>
              <w:rFonts w:ascii="Arial Narrow" w:eastAsia="Times New Roman" w:hAnsi="Arial Narrow" w:cs="Times New Roman"/>
              <w:sz w:val="20"/>
              <w:szCs w:val="20"/>
            </w:rPr>
          </w:pPr>
        </w:p>
      </w:tc>
      <w:tc>
        <w:tcPr>
          <w:tcW w:w="4237" w:type="dxa"/>
          <w:vAlign w:val="center"/>
        </w:tcPr>
        <w:p w14:paraId="26A558B8" w14:textId="77777777" w:rsidR="00A902D9" w:rsidRPr="00A902D9" w:rsidRDefault="00A902D9" w:rsidP="00A902D9">
          <w:pPr>
            <w:spacing w:after="0" w:line="240" w:lineRule="auto"/>
            <w:ind w:left="255" w:hanging="255"/>
            <w:rPr>
              <w:rFonts w:ascii="Arial Narrow" w:eastAsia="Times New Roman" w:hAnsi="Arial Narrow" w:cs="Arial"/>
              <w:sz w:val="20"/>
              <w:szCs w:val="20"/>
            </w:rPr>
          </w:pPr>
          <w:r w:rsidRPr="00A902D9">
            <w:rPr>
              <w:rFonts w:ascii="Arial Narrow" w:eastAsia="Times New Roman" w:hAnsi="Arial Narrow" w:cs="Arial"/>
              <w:b/>
              <w:sz w:val="20"/>
              <w:szCs w:val="20"/>
            </w:rPr>
            <w:t>Email</w:t>
          </w:r>
          <w:r w:rsidRPr="00A902D9">
            <w:rPr>
              <w:rFonts w:ascii="Arial Narrow" w:eastAsia="Times New Roman" w:hAnsi="Arial Narrow" w:cs="Arial"/>
              <w:sz w:val="20"/>
              <w:szCs w:val="20"/>
            </w:rPr>
            <w:t xml:space="preserve">: </w:t>
          </w:r>
          <w:hyperlink r:id="rId2" w:history="1">
            <w:r w:rsidRPr="00A902D9">
              <w:rPr>
                <w:rFonts w:ascii="Arial Narrow" w:eastAsia="Times New Roman" w:hAnsi="Arial Narrow" w:cs="Arial"/>
                <w:color w:val="0000FF"/>
                <w:sz w:val="20"/>
                <w:szCs w:val="20"/>
                <w:u w:val="single"/>
              </w:rPr>
              <w:t>socialwork@dhp.virginia.gov</w:t>
            </w:r>
          </w:hyperlink>
        </w:p>
        <w:p w14:paraId="30495519" w14:textId="77777777" w:rsidR="00A902D9" w:rsidRPr="00A902D9" w:rsidRDefault="00A902D9" w:rsidP="00A902D9">
          <w:pPr>
            <w:spacing w:after="0" w:line="240" w:lineRule="auto"/>
            <w:ind w:left="255" w:hanging="255"/>
            <w:rPr>
              <w:rFonts w:ascii="Arial Narrow" w:eastAsia="Times New Roman" w:hAnsi="Arial Narrow" w:cs="Arial"/>
              <w:sz w:val="20"/>
              <w:szCs w:val="20"/>
            </w:rPr>
          </w:pPr>
          <w:r w:rsidRPr="00A902D9">
            <w:rPr>
              <w:rFonts w:ascii="Arial Narrow" w:eastAsia="Times New Roman" w:hAnsi="Arial Narrow" w:cs="Arial"/>
              <w:b/>
              <w:sz w:val="20"/>
              <w:szCs w:val="20"/>
            </w:rPr>
            <w:t>Phone:</w:t>
          </w:r>
          <w:r w:rsidRPr="00A902D9">
            <w:rPr>
              <w:rFonts w:ascii="Arial Narrow" w:eastAsia="Times New Roman" w:hAnsi="Arial Narrow" w:cs="Arial"/>
              <w:sz w:val="20"/>
              <w:szCs w:val="20"/>
            </w:rPr>
            <w:t xml:space="preserve"> (804) 367-4441 </w:t>
          </w:r>
          <w:r w:rsidRPr="00A902D9">
            <w:rPr>
              <w:rFonts w:ascii="Arial Narrow" w:eastAsia="Times New Roman" w:hAnsi="Arial Narrow" w:cs="Arial"/>
              <w:b/>
              <w:sz w:val="20"/>
              <w:szCs w:val="20"/>
            </w:rPr>
            <w:t>E-Fax:</w:t>
          </w:r>
          <w:r w:rsidRPr="00A902D9">
            <w:rPr>
              <w:rFonts w:ascii="Arial Narrow" w:eastAsia="Times New Roman" w:hAnsi="Arial Narrow" w:cs="Arial"/>
              <w:sz w:val="20"/>
              <w:szCs w:val="20"/>
            </w:rPr>
            <w:t xml:space="preserve"> (804) 977-9915</w:t>
          </w:r>
        </w:p>
        <w:p w14:paraId="08527A26" w14:textId="77777777" w:rsidR="00A902D9" w:rsidRPr="00A902D9" w:rsidRDefault="00A902D9" w:rsidP="00A902D9">
          <w:pPr>
            <w:spacing w:after="0" w:line="240" w:lineRule="auto"/>
            <w:ind w:left="255" w:right="470" w:hanging="255"/>
            <w:rPr>
              <w:rFonts w:ascii="Arial Narrow" w:eastAsia="Times New Roman" w:hAnsi="Arial Narrow" w:cs="Arial"/>
              <w:sz w:val="20"/>
              <w:szCs w:val="20"/>
            </w:rPr>
          </w:pPr>
          <w:r w:rsidRPr="00A902D9">
            <w:rPr>
              <w:rFonts w:ascii="Arial Narrow" w:eastAsia="Times New Roman" w:hAnsi="Arial Narrow" w:cs="Arial"/>
              <w:b/>
              <w:sz w:val="20"/>
              <w:szCs w:val="20"/>
            </w:rPr>
            <w:t>Website:</w:t>
          </w:r>
          <w:r w:rsidRPr="00A902D9">
            <w:rPr>
              <w:rFonts w:ascii="Arial Narrow" w:eastAsia="Times New Roman" w:hAnsi="Arial Narrow" w:cs="Arial"/>
              <w:sz w:val="20"/>
              <w:szCs w:val="20"/>
            </w:rPr>
            <w:t xml:space="preserve"> </w:t>
          </w:r>
          <w:hyperlink r:id="rId3" w:history="1">
            <w:r w:rsidRPr="00A902D9">
              <w:rPr>
                <w:rFonts w:ascii="Arial Narrow" w:eastAsia="Times New Roman" w:hAnsi="Arial Narrow" w:cs="Arial"/>
                <w:color w:val="0000FF"/>
                <w:sz w:val="20"/>
                <w:szCs w:val="20"/>
                <w:u w:val="single"/>
              </w:rPr>
              <w:t>www.dhp.virginia.gov/social</w:t>
            </w:r>
          </w:hyperlink>
          <w:r w:rsidRPr="00A902D9">
            <w:rPr>
              <w:rFonts w:ascii="Arial Narrow" w:eastAsia="Times New Roman" w:hAnsi="Arial Narrow" w:cs="Arial"/>
              <w:sz w:val="20"/>
              <w:szCs w:val="20"/>
            </w:rPr>
            <w:t xml:space="preserve">  </w:t>
          </w:r>
        </w:p>
        <w:p w14:paraId="5F24C404" w14:textId="77777777" w:rsidR="00A902D9" w:rsidRPr="00A902D9" w:rsidRDefault="00A902D9" w:rsidP="00A902D9">
          <w:pPr>
            <w:spacing w:after="0" w:line="240" w:lineRule="auto"/>
            <w:ind w:left="255" w:hanging="255"/>
            <w:rPr>
              <w:rFonts w:ascii="Arial Narrow" w:eastAsia="Times New Roman" w:hAnsi="Arial Narrow" w:cs="Arial"/>
              <w:sz w:val="20"/>
              <w:szCs w:val="20"/>
            </w:rPr>
          </w:pPr>
        </w:p>
      </w:tc>
    </w:tr>
  </w:tbl>
  <w:p w14:paraId="0672EDD2" w14:textId="77777777" w:rsidR="00A902D9" w:rsidRPr="00A902D9" w:rsidRDefault="00A902D9" w:rsidP="00C37F83">
    <w:pPr>
      <w:pStyle w:val="Header"/>
      <w:jc w:val="center"/>
      <w:rPr>
        <w:b/>
        <w:sz w:val="20"/>
        <w:szCs w:val="20"/>
      </w:rPr>
    </w:pPr>
  </w:p>
  <w:p w14:paraId="021A527B" w14:textId="77777777" w:rsidR="00290E84" w:rsidRDefault="00D74A27" w:rsidP="00C37F83">
    <w:pPr>
      <w:pStyle w:val="Header"/>
      <w:jc w:val="center"/>
      <w:rPr>
        <w:b/>
        <w:sz w:val="36"/>
        <w:szCs w:val="36"/>
      </w:rPr>
    </w:pPr>
    <w:r>
      <w:rPr>
        <w:b/>
        <w:sz w:val="36"/>
        <w:szCs w:val="36"/>
      </w:rPr>
      <w:t xml:space="preserve">Information </w:t>
    </w:r>
    <w:r w:rsidR="00290E84">
      <w:rPr>
        <w:b/>
        <w:sz w:val="36"/>
        <w:szCs w:val="36"/>
      </w:rPr>
      <w:t>on C</w:t>
    </w:r>
    <w:r>
      <w:rPr>
        <w:b/>
        <w:sz w:val="36"/>
        <w:szCs w:val="36"/>
      </w:rPr>
      <w:t xml:space="preserve">ontinuity </w:t>
    </w:r>
    <w:r w:rsidR="00290E84">
      <w:rPr>
        <w:b/>
        <w:sz w:val="36"/>
        <w:szCs w:val="36"/>
      </w:rPr>
      <w:t>of C</w:t>
    </w:r>
    <w:r>
      <w:rPr>
        <w:b/>
        <w:sz w:val="36"/>
        <w:szCs w:val="36"/>
      </w:rPr>
      <w:t>are and</w:t>
    </w:r>
    <w:r w:rsidR="004D55CD">
      <w:rPr>
        <w:b/>
        <w:sz w:val="36"/>
        <w:szCs w:val="36"/>
      </w:rPr>
      <w:t xml:space="preserve"> </w:t>
    </w:r>
  </w:p>
  <w:p w14:paraId="46DAED35" w14:textId="77777777" w:rsidR="00C37F83" w:rsidRDefault="00290E84" w:rsidP="00C37F83">
    <w:pPr>
      <w:pStyle w:val="Header"/>
      <w:jc w:val="center"/>
      <w:rPr>
        <w:b/>
        <w:sz w:val="36"/>
        <w:szCs w:val="36"/>
      </w:rPr>
    </w:pPr>
    <w:r>
      <w:rPr>
        <w:b/>
        <w:sz w:val="36"/>
        <w:szCs w:val="36"/>
      </w:rPr>
      <w:t>T</w:t>
    </w:r>
    <w:r w:rsidR="004D55CD">
      <w:rPr>
        <w:b/>
        <w:sz w:val="36"/>
        <w:szCs w:val="36"/>
      </w:rPr>
      <w:t>emporary</w:t>
    </w:r>
    <w:r>
      <w:rPr>
        <w:b/>
        <w:sz w:val="36"/>
        <w:szCs w:val="36"/>
      </w:rPr>
      <w:t xml:space="preserve"> A</w:t>
    </w:r>
    <w:r w:rsidR="004D55CD">
      <w:rPr>
        <w:b/>
        <w:sz w:val="36"/>
        <w:szCs w:val="36"/>
      </w:rPr>
      <w:t xml:space="preserve">uthorization to </w:t>
    </w:r>
    <w:r>
      <w:rPr>
        <w:b/>
        <w:sz w:val="36"/>
        <w:szCs w:val="36"/>
      </w:rPr>
      <w:t>P</w:t>
    </w:r>
    <w:r w:rsidR="004D55CD">
      <w:rPr>
        <w:b/>
        <w:sz w:val="36"/>
        <w:szCs w:val="36"/>
      </w:rPr>
      <w:t>ractice</w:t>
    </w:r>
    <w:r w:rsidR="00D74A27">
      <w:rPr>
        <w:b/>
        <w:sz w:val="36"/>
        <w:szCs w:val="36"/>
      </w:rPr>
      <w:t xml:space="preserve"> </w:t>
    </w:r>
  </w:p>
  <w:p w14:paraId="57CAF0C2" w14:textId="77777777" w:rsidR="00B70DF9" w:rsidRPr="006A3EA8" w:rsidRDefault="00B70DF9" w:rsidP="00B70DF9">
    <w:pPr>
      <w:pStyle w:val="Header"/>
      <w:jc w:val="center"/>
      <w:rPr>
        <w:color w:val="FF0000"/>
      </w:rPr>
    </w:pPr>
    <w:r w:rsidRPr="006A3EA8">
      <w:rPr>
        <w:b/>
        <w:color w:val="FF0000"/>
        <w:sz w:val="36"/>
        <w:szCs w:val="36"/>
      </w:rPr>
      <w:t xml:space="preserve">UPDATED </w:t>
    </w:r>
    <w:r w:rsidR="00544D2E">
      <w:rPr>
        <w:b/>
        <w:color w:val="FF0000"/>
        <w:sz w:val="36"/>
        <w:szCs w:val="36"/>
      </w:rPr>
      <w:t>June 22</w:t>
    </w:r>
    <w:r w:rsidR="00843C44">
      <w:rPr>
        <w:b/>
        <w:color w:val="FF0000"/>
        <w:sz w:val="36"/>
        <w:szCs w:val="36"/>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05E"/>
    <w:multiLevelType w:val="hybridMultilevel"/>
    <w:tmpl w:val="83AE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30ED1"/>
    <w:multiLevelType w:val="hybridMultilevel"/>
    <w:tmpl w:val="723C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6711"/>
    <w:multiLevelType w:val="hybridMultilevel"/>
    <w:tmpl w:val="AAEC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E312A"/>
    <w:multiLevelType w:val="hybridMultilevel"/>
    <w:tmpl w:val="9242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11F24"/>
    <w:multiLevelType w:val="hybridMultilevel"/>
    <w:tmpl w:val="87E6229C"/>
    <w:lvl w:ilvl="0" w:tplc="04090001">
      <w:start w:val="1"/>
      <w:numFmt w:val="bullet"/>
      <w:lvlText w:val=""/>
      <w:lvlJc w:val="left"/>
      <w:pPr>
        <w:ind w:left="360" w:hanging="360"/>
      </w:pPr>
      <w:rPr>
        <w:rFonts w:ascii="Symbol" w:hAnsi="Symbol"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8208F4"/>
    <w:multiLevelType w:val="hybridMultilevel"/>
    <w:tmpl w:val="0846AD8E"/>
    <w:lvl w:ilvl="0" w:tplc="A870559E">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23BCB"/>
    <w:multiLevelType w:val="hybridMultilevel"/>
    <w:tmpl w:val="AAEC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31334">
    <w:abstractNumId w:val="1"/>
  </w:num>
  <w:num w:numId="2" w16cid:durableId="1618443413">
    <w:abstractNumId w:val="0"/>
  </w:num>
  <w:num w:numId="3" w16cid:durableId="1785421237">
    <w:abstractNumId w:val="6"/>
  </w:num>
  <w:num w:numId="4" w16cid:durableId="1317799939">
    <w:abstractNumId w:val="3"/>
  </w:num>
  <w:num w:numId="5" w16cid:durableId="665867107">
    <w:abstractNumId w:val="2"/>
  </w:num>
  <w:num w:numId="6" w16cid:durableId="1126629988">
    <w:abstractNumId w:val="5"/>
  </w:num>
  <w:num w:numId="7" w16cid:durableId="1025248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71"/>
    <w:rsid w:val="00022F9E"/>
    <w:rsid w:val="00092B24"/>
    <w:rsid w:val="0016798A"/>
    <w:rsid w:val="0019090D"/>
    <w:rsid w:val="00201205"/>
    <w:rsid w:val="00205146"/>
    <w:rsid w:val="00206B31"/>
    <w:rsid w:val="00290E84"/>
    <w:rsid w:val="003B787F"/>
    <w:rsid w:val="00442F7A"/>
    <w:rsid w:val="00493192"/>
    <w:rsid w:val="004A30DF"/>
    <w:rsid w:val="004D55CD"/>
    <w:rsid w:val="00544D2E"/>
    <w:rsid w:val="00594B35"/>
    <w:rsid w:val="005E4498"/>
    <w:rsid w:val="00727BDF"/>
    <w:rsid w:val="00727CE6"/>
    <w:rsid w:val="007471F1"/>
    <w:rsid w:val="007954B2"/>
    <w:rsid w:val="00806C4A"/>
    <w:rsid w:val="00843C44"/>
    <w:rsid w:val="00877E8F"/>
    <w:rsid w:val="00885F08"/>
    <w:rsid w:val="008D1BF8"/>
    <w:rsid w:val="008E1505"/>
    <w:rsid w:val="009B5150"/>
    <w:rsid w:val="009F3DF0"/>
    <w:rsid w:val="00A73371"/>
    <w:rsid w:val="00A902D9"/>
    <w:rsid w:val="00B13FA8"/>
    <w:rsid w:val="00B70DF9"/>
    <w:rsid w:val="00B96010"/>
    <w:rsid w:val="00BA7AD1"/>
    <w:rsid w:val="00C37F83"/>
    <w:rsid w:val="00D04354"/>
    <w:rsid w:val="00D15AD4"/>
    <w:rsid w:val="00D74A27"/>
    <w:rsid w:val="00E2113A"/>
    <w:rsid w:val="00E66493"/>
    <w:rsid w:val="00EE02E1"/>
    <w:rsid w:val="00E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99FCF9"/>
  <w15:chartTrackingRefBased/>
  <w15:docId w15:val="{14FF784F-C6D3-4D07-9ABF-50865E1B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371"/>
    <w:pPr>
      <w:ind w:left="720"/>
      <w:contextualSpacing/>
    </w:pPr>
  </w:style>
  <w:style w:type="character" w:styleId="Hyperlink">
    <w:name w:val="Hyperlink"/>
    <w:basedOn w:val="DefaultParagraphFont"/>
    <w:uiPriority w:val="99"/>
    <w:unhideWhenUsed/>
    <w:rsid w:val="00D04354"/>
    <w:rPr>
      <w:color w:val="0563C1" w:themeColor="hyperlink"/>
      <w:u w:val="single"/>
    </w:rPr>
  </w:style>
  <w:style w:type="paragraph" w:styleId="Header">
    <w:name w:val="header"/>
    <w:basedOn w:val="Normal"/>
    <w:link w:val="HeaderChar"/>
    <w:uiPriority w:val="99"/>
    <w:unhideWhenUsed/>
    <w:rsid w:val="00C3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83"/>
  </w:style>
  <w:style w:type="paragraph" w:styleId="Footer">
    <w:name w:val="footer"/>
    <w:basedOn w:val="Normal"/>
    <w:link w:val="FooterChar"/>
    <w:uiPriority w:val="99"/>
    <w:unhideWhenUsed/>
    <w:rsid w:val="00C3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83"/>
  </w:style>
  <w:style w:type="paragraph" w:styleId="BalloonText">
    <w:name w:val="Balloon Text"/>
    <w:basedOn w:val="Normal"/>
    <w:link w:val="BalloonTextChar"/>
    <w:uiPriority w:val="99"/>
    <w:semiHidden/>
    <w:unhideWhenUsed/>
    <w:rsid w:val="00092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3491">
      <w:bodyDiv w:val="1"/>
      <w:marLeft w:val="0"/>
      <w:marRight w:val="0"/>
      <w:marTop w:val="0"/>
      <w:marBottom w:val="0"/>
      <w:divBdr>
        <w:top w:val="none" w:sz="0" w:space="0" w:color="auto"/>
        <w:left w:val="none" w:sz="0" w:space="0" w:color="auto"/>
        <w:bottom w:val="none" w:sz="0" w:space="0" w:color="auto"/>
        <w:right w:val="none" w:sz="0" w:space="0" w:color="auto"/>
      </w:divBdr>
    </w:div>
    <w:div w:id="715860415">
      <w:bodyDiv w:val="1"/>
      <w:marLeft w:val="0"/>
      <w:marRight w:val="0"/>
      <w:marTop w:val="0"/>
      <w:marBottom w:val="0"/>
      <w:divBdr>
        <w:top w:val="none" w:sz="0" w:space="0" w:color="auto"/>
        <w:left w:val="none" w:sz="0" w:space="0" w:color="auto"/>
        <w:bottom w:val="none" w:sz="0" w:space="0" w:color="auto"/>
        <w:right w:val="none" w:sz="0" w:space="0" w:color="auto"/>
      </w:divBdr>
    </w:div>
    <w:div w:id="8316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hp.virginia.gov/forms/psychology/Behavioral_Out-of-State_Temporary_Practition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dhp.virginia.gov/social" TargetMode="External"/><Relationship Id="rId2" Type="http://schemas.openxmlformats.org/officeDocument/2006/relationships/hyperlink" Target="mailto:socialwork@dhp.virgini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Continuity of Care and Temporary Authorization to Practice</dc:title>
  <dc:subject/>
  <dc:creator>Lenart, Charlotte (DHP)</dc:creator>
  <cp:keywords/>
  <dc:description/>
  <cp:lastModifiedBy>Gallini, Mike (DHP)</cp:lastModifiedBy>
  <cp:revision>3</cp:revision>
  <cp:lastPrinted>2022-05-26T17:39:00Z</cp:lastPrinted>
  <dcterms:created xsi:type="dcterms:W3CDTF">2022-06-22T15:26:00Z</dcterms:created>
  <dcterms:modified xsi:type="dcterms:W3CDTF">2023-03-22T15:08:00Z</dcterms:modified>
</cp:coreProperties>
</file>