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C56" w:rsidRDefault="00DC3C56" w:rsidP="00DC3C56">
      <w:pPr>
        <w:pStyle w:val="NormalWeb"/>
        <w:jc w:val="center"/>
        <w:rPr>
          <w:b/>
          <w:bCs/>
          <w:sz w:val="32"/>
          <w:szCs w:val="32"/>
        </w:rPr>
      </w:pPr>
      <w:bookmarkStart w:id="0" w:name="_GoBack"/>
      <w:bookmarkEnd w:id="0"/>
      <w:r>
        <w:rPr>
          <w:b/>
          <w:bCs/>
          <w:sz w:val="32"/>
          <w:szCs w:val="32"/>
        </w:rPr>
        <w:t>Board of Funeral Directors and Embalmers</w:t>
      </w:r>
    </w:p>
    <w:p w:rsidR="00DC3C56" w:rsidRPr="006F1370" w:rsidRDefault="00DC3C56" w:rsidP="006F1370">
      <w:pPr>
        <w:pStyle w:val="NormalWeb"/>
        <w:jc w:val="center"/>
        <w:rPr>
          <w:b/>
          <w:bCs/>
          <w:sz w:val="32"/>
          <w:szCs w:val="32"/>
        </w:rPr>
      </w:pPr>
      <w:r>
        <w:rPr>
          <w:b/>
          <w:bCs/>
          <w:sz w:val="32"/>
          <w:szCs w:val="32"/>
        </w:rPr>
        <w:t xml:space="preserve">GUIDANCE </w:t>
      </w:r>
      <w:r w:rsidRPr="003B6423">
        <w:rPr>
          <w:b/>
          <w:bCs/>
          <w:sz w:val="32"/>
          <w:szCs w:val="32"/>
        </w:rPr>
        <w:t>FOR INSPECTORS</w:t>
      </w:r>
      <w:r w:rsidR="00DE4143">
        <w:rPr>
          <w:b/>
          <w:bCs/>
          <w:sz w:val="32"/>
          <w:szCs w:val="32"/>
        </w:rPr>
        <w:t xml:space="preserve"> </w:t>
      </w:r>
      <w:r w:rsidR="00DE4143" w:rsidRPr="00A52C7C">
        <w:rPr>
          <w:b/>
          <w:bCs/>
          <w:sz w:val="32"/>
          <w:szCs w:val="32"/>
        </w:rPr>
        <w:t>AND LICENSEES</w:t>
      </w:r>
    </w:p>
    <w:p w:rsidR="00DC3C56" w:rsidRPr="00BB0B15" w:rsidRDefault="00DC3C56" w:rsidP="00DC3C56">
      <w:pPr>
        <w:pStyle w:val="NormalWeb"/>
        <w:spacing w:before="0" w:beforeAutospacing="0" w:after="0" w:afterAutospacing="0"/>
        <w:jc w:val="both"/>
        <w:rPr>
          <w:b/>
          <w:bCs/>
        </w:rPr>
      </w:pPr>
      <w:r w:rsidRPr="00BB0B15">
        <w:rPr>
          <w:b/>
          <w:bCs/>
        </w:rPr>
        <w:t xml:space="preserve">If a funeral home or crematory transports a body from the hospital or place of death, does the body have to be in a cremation container? </w:t>
      </w:r>
    </w:p>
    <w:p w:rsidR="00DC3C56" w:rsidRDefault="00DC3C56" w:rsidP="00DC3C56">
      <w:pPr>
        <w:pStyle w:val="NormalWeb"/>
        <w:spacing w:before="0" w:beforeAutospacing="0" w:after="0" w:afterAutospacing="0"/>
        <w:ind w:left="720"/>
        <w:jc w:val="both"/>
        <w:rPr>
          <w:bCs/>
        </w:rPr>
      </w:pPr>
      <w:r w:rsidRPr="001D28F8">
        <w:rPr>
          <w:bCs/>
        </w:rPr>
        <w:t xml:space="preserve">The intent of the regulation is that upon arrival at the funeral home the decedent shall be placed in a cremation container for transfer to the crematory. </w:t>
      </w:r>
      <w:r w:rsidRPr="002307CC">
        <w:rPr>
          <w:bCs/>
        </w:rPr>
        <w:t>18VAC65-20-436(C).</w:t>
      </w:r>
    </w:p>
    <w:p w:rsidR="00DC3C56" w:rsidRPr="001D28F8" w:rsidRDefault="00DC3C56" w:rsidP="00DC3C56">
      <w:pPr>
        <w:pStyle w:val="NormalWeb"/>
        <w:spacing w:before="0" w:beforeAutospacing="0" w:after="0" w:afterAutospacing="0"/>
        <w:jc w:val="both"/>
        <w:rPr>
          <w:bCs/>
        </w:rPr>
      </w:pPr>
    </w:p>
    <w:p w:rsidR="00DC3C56" w:rsidRPr="00BB0B15" w:rsidRDefault="00DC3C56" w:rsidP="00DC3C56">
      <w:pPr>
        <w:pStyle w:val="NormalWeb"/>
        <w:spacing w:before="0" w:beforeAutospacing="0" w:after="0" w:afterAutospacing="0"/>
        <w:jc w:val="both"/>
        <w:rPr>
          <w:b/>
          <w:bCs/>
        </w:rPr>
      </w:pPr>
      <w:r w:rsidRPr="00BB0B15">
        <w:rPr>
          <w:b/>
          <w:bCs/>
        </w:rPr>
        <w:t xml:space="preserve">Is the DEQ permit number of the retort required on every form in the deceased’s cremation record? </w:t>
      </w:r>
    </w:p>
    <w:p w:rsidR="00DC3C56" w:rsidRDefault="00DC3C56" w:rsidP="00DC3C56">
      <w:pPr>
        <w:pStyle w:val="NormalWeb"/>
        <w:spacing w:before="0" w:beforeAutospacing="0" w:after="0" w:afterAutospacing="0"/>
        <w:ind w:firstLine="720"/>
        <w:jc w:val="both"/>
        <w:rPr>
          <w:bCs/>
        </w:rPr>
      </w:pPr>
      <w:r w:rsidRPr="001D28F8">
        <w:rPr>
          <w:bCs/>
        </w:rPr>
        <w:t xml:space="preserve">No, it is only required to be listed </w:t>
      </w:r>
      <w:r>
        <w:rPr>
          <w:bCs/>
        </w:rPr>
        <w:t>on one form i</w:t>
      </w:r>
      <w:r w:rsidRPr="001D28F8">
        <w:rPr>
          <w:bCs/>
        </w:rPr>
        <w:t xml:space="preserve">n the decedent’s cremation record. </w:t>
      </w:r>
      <w:r w:rsidRPr="002307CC">
        <w:rPr>
          <w:bCs/>
        </w:rPr>
        <w:t>18VAC65-20-436(D).</w:t>
      </w:r>
    </w:p>
    <w:p w:rsidR="00DC3C56" w:rsidRPr="001D28F8" w:rsidRDefault="00DC3C56" w:rsidP="00DC3C56">
      <w:pPr>
        <w:pStyle w:val="NormalWeb"/>
        <w:spacing w:before="0" w:beforeAutospacing="0" w:after="0" w:afterAutospacing="0"/>
        <w:jc w:val="both"/>
        <w:rPr>
          <w:bCs/>
        </w:rPr>
      </w:pPr>
    </w:p>
    <w:p w:rsidR="00DC3C56" w:rsidRPr="00BB0B15" w:rsidRDefault="00DC3C56" w:rsidP="00DC3C56">
      <w:pPr>
        <w:pStyle w:val="NormalWeb"/>
        <w:spacing w:before="0" w:beforeAutospacing="0" w:after="0" w:afterAutospacing="0"/>
        <w:jc w:val="both"/>
        <w:rPr>
          <w:b/>
          <w:bCs/>
        </w:rPr>
      </w:pPr>
      <w:r w:rsidRPr="00BB0B15">
        <w:rPr>
          <w:b/>
          <w:bCs/>
        </w:rPr>
        <w:t xml:space="preserve">Can a crematory that operates within a funeral establishment have a separate manager of record or can the establishment’s manager serve as the manager of record for both? </w:t>
      </w:r>
    </w:p>
    <w:p w:rsidR="00DC3C56" w:rsidRDefault="00DC3C56" w:rsidP="00DC3C56">
      <w:pPr>
        <w:pStyle w:val="NormalWeb"/>
        <w:spacing w:before="0" w:beforeAutospacing="0" w:after="0" w:afterAutospacing="0"/>
        <w:ind w:left="720"/>
        <w:jc w:val="both"/>
        <w:rPr>
          <w:bCs/>
        </w:rPr>
      </w:pPr>
      <w:r w:rsidRPr="001D28F8">
        <w:rPr>
          <w:bCs/>
        </w:rPr>
        <w:t xml:space="preserve">Yes, a manager of record of the funeral establishment can also serve as manager of record of the crematory or they can have two separate managers. However if the manager of record of the crematory is not a licensee, the establishment’s manager of record is ultimately responsible for both the establishment and the crematory.  </w:t>
      </w:r>
      <w:r w:rsidRPr="002307CC">
        <w:rPr>
          <w:bCs/>
        </w:rPr>
        <w:t>18VAC65-20-435.</w:t>
      </w:r>
    </w:p>
    <w:p w:rsidR="00DC3C56" w:rsidRPr="001D28F8" w:rsidRDefault="00DC3C56" w:rsidP="00DC3C56">
      <w:pPr>
        <w:pStyle w:val="NormalWeb"/>
        <w:spacing w:before="0" w:beforeAutospacing="0" w:after="0" w:afterAutospacing="0"/>
        <w:ind w:left="720"/>
        <w:jc w:val="both"/>
        <w:rPr>
          <w:bCs/>
        </w:rPr>
      </w:pPr>
    </w:p>
    <w:p w:rsidR="00DC3C56" w:rsidRPr="00BB0B15" w:rsidRDefault="00DC3C56" w:rsidP="00DC3C56">
      <w:pPr>
        <w:pStyle w:val="NormalWeb"/>
        <w:spacing w:before="0" w:beforeAutospacing="0" w:after="0" w:afterAutospacing="0"/>
        <w:jc w:val="both"/>
        <w:rPr>
          <w:b/>
          <w:bCs/>
        </w:rPr>
      </w:pPr>
      <w:r w:rsidRPr="00BB0B15">
        <w:rPr>
          <w:b/>
          <w:bCs/>
        </w:rPr>
        <w:t xml:space="preserve">If a crematory is not a funeral establishment or a branch of a funeral establishment, can they sell preneed? </w:t>
      </w:r>
    </w:p>
    <w:p w:rsidR="00DC3C56" w:rsidRDefault="00DC3C56" w:rsidP="00DC3C56">
      <w:pPr>
        <w:pStyle w:val="NormalWeb"/>
        <w:spacing w:before="0" w:beforeAutospacing="0" w:after="0" w:afterAutospacing="0"/>
        <w:ind w:left="720"/>
        <w:jc w:val="both"/>
        <w:rPr>
          <w:bCs/>
        </w:rPr>
      </w:pPr>
      <w:r w:rsidRPr="001D28F8">
        <w:rPr>
          <w:bCs/>
        </w:rPr>
        <w:t>No, they must be licensed as a funeral establishment or a branch of a funeral establishment.</w:t>
      </w:r>
      <w:r>
        <w:rPr>
          <w:bCs/>
        </w:rPr>
        <w:t xml:space="preserve"> </w:t>
      </w:r>
      <w:r w:rsidRPr="002307CC">
        <w:rPr>
          <w:bCs/>
        </w:rPr>
        <w:t>Va. Code § 54.1-2805.</w:t>
      </w:r>
      <w:r>
        <w:rPr>
          <w:bCs/>
        </w:rPr>
        <w:t xml:space="preserve"> </w:t>
      </w:r>
    </w:p>
    <w:p w:rsidR="00DC3C56" w:rsidRPr="001D28F8" w:rsidRDefault="00DC3C56" w:rsidP="00DC3C56">
      <w:pPr>
        <w:pStyle w:val="NormalWeb"/>
        <w:spacing w:before="0" w:beforeAutospacing="0" w:after="0" w:afterAutospacing="0"/>
        <w:ind w:left="720"/>
        <w:jc w:val="both"/>
        <w:rPr>
          <w:bCs/>
        </w:rPr>
      </w:pPr>
    </w:p>
    <w:p w:rsidR="00DC3C56" w:rsidRPr="00BB0B15" w:rsidRDefault="00DC3C56" w:rsidP="00DC3C56">
      <w:pPr>
        <w:pStyle w:val="NormalWeb"/>
        <w:spacing w:before="0" w:beforeAutospacing="0" w:after="0" w:afterAutospacing="0"/>
        <w:jc w:val="both"/>
        <w:rPr>
          <w:b/>
          <w:bCs/>
        </w:rPr>
      </w:pPr>
      <w:r w:rsidRPr="00BB0B15">
        <w:rPr>
          <w:b/>
          <w:bCs/>
        </w:rPr>
        <w:t>Do the regulations still require a contract number on a preneed contract?</w:t>
      </w:r>
    </w:p>
    <w:p w:rsidR="00DC3C56" w:rsidRPr="002307CC" w:rsidRDefault="00DC3C56" w:rsidP="00DC3C56">
      <w:pPr>
        <w:pStyle w:val="NormalWeb"/>
        <w:spacing w:before="0" w:beforeAutospacing="0" w:after="0" w:afterAutospacing="0"/>
        <w:ind w:left="720"/>
        <w:jc w:val="both"/>
        <w:rPr>
          <w:bCs/>
        </w:rPr>
      </w:pPr>
      <w:r w:rsidRPr="001D28F8">
        <w:rPr>
          <w:bCs/>
        </w:rPr>
        <w:t>No, however the funeral home must be able to show verification of the funding and payment.</w:t>
      </w:r>
      <w:r>
        <w:rPr>
          <w:bCs/>
        </w:rPr>
        <w:t xml:space="preserve"> </w:t>
      </w:r>
      <w:r w:rsidRPr="002307CC">
        <w:rPr>
          <w:bCs/>
        </w:rPr>
        <w:t>Va. Code § 54.1-2820.</w:t>
      </w:r>
    </w:p>
    <w:p w:rsidR="00DC3C56" w:rsidRPr="001D28F8" w:rsidRDefault="00DC3C56" w:rsidP="00DC3C56">
      <w:pPr>
        <w:pStyle w:val="NormalWeb"/>
        <w:spacing w:before="0" w:beforeAutospacing="0" w:after="0" w:afterAutospacing="0"/>
        <w:ind w:left="720"/>
        <w:jc w:val="both"/>
        <w:rPr>
          <w:bCs/>
        </w:rPr>
      </w:pPr>
    </w:p>
    <w:p w:rsidR="00DC3C56" w:rsidRPr="00BB0B15" w:rsidRDefault="00DC3C56" w:rsidP="00DC3C56">
      <w:pPr>
        <w:pStyle w:val="NormalWeb"/>
        <w:spacing w:before="0" w:beforeAutospacing="0" w:after="0" w:afterAutospacing="0"/>
        <w:jc w:val="both"/>
        <w:rPr>
          <w:b/>
          <w:bCs/>
        </w:rPr>
      </w:pPr>
      <w:r w:rsidRPr="00BB0B15">
        <w:rPr>
          <w:b/>
          <w:bCs/>
        </w:rPr>
        <w:t xml:space="preserve">What duties can unlicensed staff perform in the preparation of the body?  </w:t>
      </w:r>
    </w:p>
    <w:p w:rsidR="00DC3C56" w:rsidRDefault="00DC3C56" w:rsidP="00DC3C56">
      <w:pPr>
        <w:autoSpaceDE w:val="0"/>
        <w:autoSpaceDN w:val="0"/>
        <w:adjustRightInd w:val="0"/>
        <w:ind w:left="720"/>
        <w:jc w:val="both"/>
      </w:pPr>
      <w:r>
        <w:rPr>
          <w:bCs/>
        </w:rPr>
        <w:t xml:space="preserve">An </w:t>
      </w:r>
      <w:r w:rsidRPr="001D28F8">
        <w:rPr>
          <w:bCs/>
        </w:rPr>
        <w:t xml:space="preserve">unlicensed person </w:t>
      </w:r>
      <w:r w:rsidRPr="00E41B8A">
        <w:rPr>
          <w:bCs/>
        </w:rPr>
        <w:t>may</w:t>
      </w:r>
      <w:r w:rsidRPr="008D6BB1">
        <w:rPr>
          <w:bCs/>
        </w:rPr>
        <w:t xml:space="preserve"> </w:t>
      </w:r>
      <w:r w:rsidRPr="001D28F8">
        <w:rPr>
          <w:bCs/>
        </w:rPr>
        <w:t xml:space="preserve">assist with </w:t>
      </w:r>
      <w:proofErr w:type="spellStart"/>
      <w:r w:rsidRPr="001D28F8">
        <w:rPr>
          <w:bCs/>
        </w:rPr>
        <w:t>cosmetizing</w:t>
      </w:r>
      <w:proofErr w:type="spellEnd"/>
      <w:r w:rsidRPr="001D28F8">
        <w:rPr>
          <w:bCs/>
        </w:rPr>
        <w:t xml:space="preserve">, dressing and casketing the deceased. </w:t>
      </w:r>
      <w:r>
        <w:t xml:space="preserve">An unlicensed individual may wash or use soap and water to cleanse or prepare a dead human body for disposition by the authorized agents, family, or friends of the deceased who do so privately without pay or as part of the ritual washing and preparation of dead human bodies prescribed by religious practices. </w:t>
      </w:r>
    </w:p>
    <w:p w:rsidR="00DC3C56" w:rsidRDefault="00DC3C56" w:rsidP="00DC3C56">
      <w:pPr>
        <w:jc w:val="both"/>
        <w:rPr>
          <w:b/>
          <w:bCs/>
        </w:rPr>
      </w:pPr>
    </w:p>
    <w:p w:rsidR="00DC3C56" w:rsidRPr="00BB0B15" w:rsidRDefault="00DC3C56" w:rsidP="00DC3C56">
      <w:pPr>
        <w:pStyle w:val="NormalWeb"/>
        <w:spacing w:before="0" w:beforeAutospacing="0" w:after="0" w:afterAutospacing="0"/>
        <w:jc w:val="both"/>
        <w:rPr>
          <w:b/>
          <w:bCs/>
        </w:rPr>
      </w:pPr>
      <w:r w:rsidRPr="00BB0B15">
        <w:rPr>
          <w:b/>
          <w:bCs/>
        </w:rPr>
        <w:t>When a funeral home takes arrangement instructions from another funeral home on an at-need contract, whose signature should be on the buyer’s signature line?</w:t>
      </w:r>
    </w:p>
    <w:p w:rsidR="00DC3C56" w:rsidRDefault="00DC3C56" w:rsidP="00DC3C56">
      <w:pPr>
        <w:pStyle w:val="NormalWeb"/>
        <w:spacing w:before="0" w:beforeAutospacing="0" w:after="0" w:afterAutospacing="0"/>
        <w:ind w:left="720"/>
        <w:jc w:val="both"/>
        <w:rPr>
          <w:bCs/>
        </w:rPr>
      </w:pPr>
      <w:r>
        <w:rPr>
          <w:bCs/>
        </w:rPr>
        <w:t xml:space="preserve">It is not mandated by regulations but is suggested to have the </w:t>
      </w:r>
      <w:r w:rsidRPr="001D28F8">
        <w:rPr>
          <w:bCs/>
        </w:rPr>
        <w:t>calling funeral home’s name and the name of the funeral director who</w:t>
      </w:r>
      <w:r>
        <w:rPr>
          <w:bCs/>
        </w:rPr>
        <w:t xml:space="preserve"> </w:t>
      </w:r>
      <w:r w:rsidRPr="001D28F8">
        <w:rPr>
          <w:bCs/>
        </w:rPr>
        <w:t>is giving instruction on the buyer’s signature line.</w:t>
      </w:r>
    </w:p>
    <w:p w:rsidR="00DC3C56" w:rsidRPr="001D28F8" w:rsidRDefault="00DC3C56" w:rsidP="00DC3C56">
      <w:pPr>
        <w:pStyle w:val="NormalWeb"/>
        <w:spacing w:before="0" w:beforeAutospacing="0" w:after="0" w:afterAutospacing="0"/>
        <w:ind w:left="720"/>
        <w:jc w:val="both"/>
        <w:rPr>
          <w:bCs/>
        </w:rPr>
      </w:pPr>
    </w:p>
    <w:p w:rsidR="00DC3C56" w:rsidRPr="00BB0B15" w:rsidRDefault="00DC3C56" w:rsidP="00DC3C56">
      <w:pPr>
        <w:pStyle w:val="NormalWeb"/>
        <w:spacing w:before="0" w:beforeAutospacing="0" w:after="0" w:afterAutospacing="0"/>
        <w:jc w:val="both"/>
        <w:rPr>
          <w:b/>
          <w:bCs/>
        </w:rPr>
      </w:pPr>
      <w:r w:rsidRPr="00BB0B15">
        <w:rPr>
          <w:b/>
          <w:bCs/>
        </w:rPr>
        <w:t>Can a funeral home keep a log or spreadsheet versus an individual embalming record?</w:t>
      </w:r>
    </w:p>
    <w:p w:rsidR="00DC3C56" w:rsidRDefault="00DC3C56" w:rsidP="00DC3C56">
      <w:pPr>
        <w:pStyle w:val="NormalWeb"/>
        <w:spacing w:before="0" w:beforeAutospacing="0" w:after="0" w:afterAutospacing="0"/>
        <w:ind w:left="720"/>
        <w:jc w:val="both"/>
        <w:rPr>
          <w:bCs/>
        </w:rPr>
      </w:pPr>
      <w:r w:rsidRPr="001D28F8">
        <w:rPr>
          <w:bCs/>
        </w:rPr>
        <w:t xml:space="preserve">No, 18VAC65-20-510 clearly requires that every funeral establishment shall record and maintain a separate, identifiable report for each embalming procedure conducted, which </w:t>
      </w:r>
      <w:r w:rsidRPr="001D28F8">
        <w:rPr>
          <w:bCs/>
        </w:rPr>
        <w:lastRenderedPageBreak/>
        <w:t>shall at a minimum include the following:  the deceased’s name and date of death, the date and location of the embalming, the name and signature of the embalmer and the license number of the embalmer and if the embalming was performed by a funeral service intern and if so the signature of the supervisor, location of embalming, date of d</w:t>
      </w:r>
      <w:r>
        <w:rPr>
          <w:bCs/>
        </w:rPr>
        <w:t>eath, date of embalming.</w:t>
      </w:r>
    </w:p>
    <w:p w:rsidR="00DC3C56" w:rsidRPr="001D28F8" w:rsidRDefault="00DC3C56" w:rsidP="00DC3C56">
      <w:pPr>
        <w:pStyle w:val="NormalWeb"/>
        <w:spacing w:before="0" w:beforeAutospacing="0" w:after="0" w:afterAutospacing="0"/>
        <w:ind w:left="720"/>
        <w:jc w:val="both"/>
        <w:rPr>
          <w:bCs/>
        </w:rPr>
      </w:pPr>
    </w:p>
    <w:p w:rsidR="00DC3C56" w:rsidRPr="00E00547" w:rsidRDefault="00DC3C56" w:rsidP="00DC3C56">
      <w:pPr>
        <w:pStyle w:val="NormalWeb"/>
        <w:spacing w:before="0" w:beforeAutospacing="0" w:after="0" w:afterAutospacing="0"/>
        <w:jc w:val="both"/>
        <w:rPr>
          <w:b/>
          <w:bCs/>
        </w:rPr>
      </w:pPr>
      <w:r w:rsidRPr="00E00547">
        <w:rPr>
          <w:b/>
          <w:bCs/>
        </w:rPr>
        <w:t xml:space="preserve">If a funeral home lists the full price of a package on the Statement of Goods and Services must it also identify on the contract the specific items that are included in the package? </w:t>
      </w:r>
    </w:p>
    <w:p w:rsidR="00DC3C56" w:rsidRPr="00587424" w:rsidRDefault="00DC3C56" w:rsidP="00DC3C56">
      <w:pPr>
        <w:pStyle w:val="NormalWeb"/>
        <w:spacing w:before="0" w:beforeAutospacing="0" w:after="0" w:afterAutospacing="0"/>
        <w:ind w:left="720"/>
        <w:jc w:val="both"/>
        <w:rPr>
          <w:bCs/>
          <w:u w:val="single"/>
        </w:rPr>
      </w:pPr>
      <w:r w:rsidRPr="001D28F8">
        <w:rPr>
          <w:bCs/>
        </w:rPr>
        <w:t xml:space="preserve">Yes, </w:t>
      </w:r>
      <w:r w:rsidRPr="00144CB6">
        <w:rPr>
          <w:bCs/>
        </w:rPr>
        <w:t>the funeral home may</w:t>
      </w:r>
      <w:r>
        <w:rPr>
          <w:bCs/>
        </w:rPr>
        <w:t xml:space="preserve"> </w:t>
      </w:r>
      <w:r w:rsidR="00144CB6">
        <w:rPr>
          <w:bCs/>
        </w:rPr>
        <w:t xml:space="preserve">either list </w:t>
      </w:r>
      <w:r w:rsidR="00144CB6" w:rsidRPr="00A52C7C">
        <w:rPr>
          <w:bCs/>
        </w:rPr>
        <w:t>the items</w:t>
      </w:r>
      <w:r w:rsidRPr="00A52C7C">
        <w:rPr>
          <w:bCs/>
        </w:rPr>
        <w:t xml:space="preserve"> </w:t>
      </w:r>
      <w:r w:rsidRPr="001D28F8">
        <w:rPr>
          <w:bCs/>
        </w:rPr>
        <w:t>individually on the Statement of Goods and Services or place an asterisk around each item included in the package on the contract. The intent is that the reader can understand which items are included in the package.</w:t>
      </w:r>
      <w:r>
        <w:rPr>
          <w:bCs/>
        </w:rPr>
        <w:t xml:space="preserve"> </w:t>
      </w:r>
      <w:r w:rsidRPr="002307CC">
        <w:rPr>
          <w:bCs/>
        </w:rPr>
        <w:t>(Appendix III)</w:t>
      </w:r>
    </w:p>
    <w:p w:rsidR="00DC3C56" w:rsidRPr="001D28F8" w:rsidRDefault="00DC3C56" w:rsidP="00DC3C56">
      <w:pPr>
        <w:pStyle w:val="NormalWeb"/>
        <w:spacing w:before="0" w:beforeAutospacing="0" w:after="0" w:afterAutospacing="0"/>
        <w:ind w:left="720"/>
        <w:jc w:val="both"/>
        <w:rPr>
          <w:bCs/>
        </w:rPr>
      </w:pPr>
    </w:p>
    <w:p w:rsidR="00DC3C56" w:rsidRPr="00E00547" w:rsidRDefault="00DC3C56" w:rsidP="00DC3C56">
      <w:pPr>
        <w:pStyle w:val="NormalWeb"/>
        <w:spacing w:before="0" w:beforeAutospacing="0" w:after="0" w:afterAutospacing="0"/>
        <w:jc w:val="both"/>
        <w:rPr>
          <w:b/>
          <w:bCs/>
        </w:rPr>
      </w:pPr>
      <w:r w:rsidRPr="00E00547">
        <w:rPr>
          <w:b/>
          <w:bCs/>
        </w:rPr>
        <w:t>Is it acceptable to the board for a license to be posted in a private business office?</w:t>
      </w:r>
    </w:p>
    <w:p w:rsidR="00DC3C56" w:rsidRDefault="00DC3C56" w:rsidP="00DC3C56">
      <w:pPr>
        <w:pStyle w:val="NormalWeb"/>
        <w:spacing w:before="0" w:beforeAutospacing="0" w:after="0" w:afterAutospacing="0"/>
        <w:ind w:left="720"/>
        <w:jc w:val="both"/>
      </w:pPr>
      <w:r w:rsidRPr="001D28F8">
        <w:t>No</w:t>
      </w:r>
      <w:r w:rsidRPr="001D28F8">
        <w:rPr>
          <w:bCs/>
        </w:rPr>
        <w:t xml:space="preserve">, a public lounge or an arrangement room is acceptable.  </w:t>
      </w:r>
      <w:r>
        <w:rPr>
          <w:bCs/>
        </w:rPr>
        <w:t xml:space="preserve">18VAC65-20-50 </w:t>
      </w:r>
      <w:r w:rsidRPr="001D28F8">
        <w:rPr>
          <w:bCs/>
        </w:rPr>
        <w:t>states that e</w:t>
      </w:r>
      <w:r w:rsidRPr="001D28F8">
        <w:t>ach licensee shall post an original or photocopy of his license in a place conspicuous to consumers of funeral services in each establishment or branch where he is employed.</w:t>
      </w:r>
      <w:r>
        <w:t xml:space="preserve"> </w:t>
      </w:r>
    </w:p>
    <w:p w:rsidR="00DC3C56" w:rsidRDefault="00DC3C56" w:rsidP="00DC3C56">
      <w:pPr>
        <w:pStyle w:val="NormalWeb"/>
        <w:spacing w:before="0" w:beforeAutospacing="0" w:after="0" w:afterAutospacing="0"/>
        <w:ind w:left="720"/>
        <w:jc w:val="both"/>
      </w:pPr>
    </w:p>
    <w:p w:rsidR="00DC3C56" w:rsidRDefault="00DC3C56" w:rsidP="00DC3C56">
      <w:pPr>
        <w:pStyle w:val="NormalWeb"/>
        <w:spacing w:before="0" w:beforeAutospacing="0" w:after="0" w:afterAutospacing="0"/>
        <w:ind w:left="720"/>
        <w:jc w:val="both"/>
      </w:pPr>
      <w:r>
        <w:t>Additionally, if the funeral establishment uses contract embalmers only on rare occasions, a funeral home does not have to post that embalmer’s license as long as the funeral home keeps it on file (Board approved 12/06).</w:t>
      </w:r>
    </w:p>
    <w:p w:rsidR="00DC3C56" w:rsidRPr="001D28F8" w:rsidRDefault="00DC3C56" w:rsidP="00DC3C56">
      <w:pPr>
        <w:pStyle w:val="NormalWeb"/>
        <w:spacing w:before="0" w:beforeAutospacing="0" w:after="0" w:afterAutospacing="0"/>
        <w:ind w:left="720"/>
        <w:jc w:val="both"/>
      </w:pPr>
    </w:p>
    <w:p w:rsidR="00DC3C56" w:rsidRPr="00E00547" w:rsidRDefault="00DC3C56" w:rsidP="00DC3C56">
      <w:pPr>
        <w:jc w:val="both"/>
        <w:rPr>
          <w:b/>
        </w:rPr>
      </w:pPr>
      <w:r w:rsidRPr="00E00547">
        <w:rPr>
          <w:b/>
        </w:rPr>
        <w:t xml:space="preserve">Can enamel based paint be used as a material impervious to water? </w:t>
      </w:r>
    </w:p>
    <w:p w:rsidR="00DC3C56" w:rsidRDefault="00DC3C56" w:rsidP="00DC3C56">
      <w:pPr>
        <w:pStyle w:val="BodyText"/>
        <w:ind w:left="720"/>
        <w:jc w:val="both"/>
        <w:rPr>
          <w:rFonts w:ascii="Times New Roman" w:hAnsi="Times New Roman"/>
          <w:i w:val="0"/>
        </w:rPr>
      </w:pPr>
      <w:r w:rsidRPr="001D28F8">
        <w:rPr>
          <w:rFonts w:ascii="Times New Roman" w:hAnsi="Times New Roman"/>
          <w:i w:val="0"/>
        </w:rPr>
        <w:t>Enamel based paint is considered impervious to water and is an acceptable material for the floor and wall surfaces.</w:t>
      </w:r>
    </w:p>
    <w:p w:rsidR="00DC3C56" w:rsidRPr="001D28F8" w:rsidRDefault="00DC3C56" w:rsidP="00DC3C56">
      <w:pPr>
        <w:pStyle w:val="BodyText"/>
        <w:ind w:left="720"/>
        <w:jc w:val="both"/>
        <w:rPr>
          <w:rFonts w:ascii="Times New Roman" w:hAnsi="Times New Roman"/>
          <w:i w:val="0"/>
        </w:rPr>
      </w:pPr>
    </w:p>
    <w:p w:rsidR="00DC3C56" w:rsidRPr="00E00547" w:rsidRDefault="00DC3C56" w:rsidP="00DC3C56">
      <w:pPr>
        <w:jc w:val="both"/>
        <w:rPr>
          <w:b/>
          <w:bCs/>
        </w:rPr>
      </w:pPr>
      <w:r w:rsidRPr="00E00547">
        <w:rPr>
          <w:b/>
          <w:bCs/>
        </w:rPr>
        <w:t>May a drainage tube be connected to the embalming table and run straight into the sewer?</w:t>
      </w:r>
    </w:p>
    <w:p w:rsidR="00DC3C56" w:rsidRPr="001D28F8" w:rsidRDefault="00DC3C56" w:rsidP="00DC3C56">
      <w:pPr>
        <w:ind w:left="720"/>
        <w:jc w:val="both"/>
      </w:pPr>
      <w:r w:rsidRPr="001D28F8">
        <w:rPr>
          <w:bCs/>
        </w:rPr>
        <w:t>Yes, the regulations states that the preparation room shall be equipped with a f</w:t>
      </w:r>
      <w:r w:rsidRPr="001D28F8">
        <w:t>lush or slop sink connected with public sewer or with septic tank where no pubic sewer is available</w:t>
      </w:r>
      <w:r>
        <w:t xml:space="preserve">. </w:t>
      </w:r>
      <w:r w:rsidRPr="002307CC">
        <w:t>18VAC65-20-580.</w:t>
      </w:r>
    </w:p>
    <w:p w:rsidR="00DC3C56" w:rsidRPr="001D28F8" w:rsidRDefault="00DC3C56" w:rsidP="00DC3C56">
      <w:pPr>
        <w:jc w:val="both"/>
      </w:pPr>
    </w:p>
    <w:p w:rsidR="00DC3C56" w:rsidRPr="00E00547" w:rsidRDefault="00DC3C56" w:rsidP="00DC3C56">
      <w:pPr>
        <w:jc w:val="both"/>
        <w:rPr>
          <w:b/>
          <w:bCs/>
        </w:rPr>
      </w:pPr>
      <w:r w:rsidRPr="00E00547">
        <w:rPr>
          <w:b/>
          <w:bCs/>
        </w:rPr>
        <w:t xml:space="preserve">Can the disinfectants and antiseptic solutions be stored on the floor in the preparation room in properly labeled containers?  </w:t>
      </w:r>
    </w:p>
    <w:p w:rsidR="00DC3C56" w:rsidRPr="00E41B8A" w:rsidRDefault="00DC3C56" w:rsidP="00DC3C56">
      <w:pPr>
        <w:ind w:left="720"/>
        <w:jc w:val="both"/>
      </w:pPr>
      <w:r w:rsidRPr="001D28F8">
        <w:rPr>
          <w:bCs/>
        </w:rPr>
        <w:t>Yes, both d</w:t>
      </w:r>
      <w:r w:rsidRPr="001D28F8">
        <w:t xml:space="preserve">isinfectants and antiseptic solutions may be stored on the floor of the prep room in properly labeled containers. </w:t>
      </w:r>
      <w:r w:rsidRPr="00E41B8A">
        <w:t>Inventories of embalming and preparation materials shall be stored in a container and in a manner that makes them impervious to water and protects them from contamination.  18VAC65-20-570.</w:t>
      </w:r>
    </w:p>
    <w:p w:rsidR="00DC3C56" w:rsidRPr="001D28F8" w:rsidRDefault="00DC3C56" w:rsidP="00DC3C56">
      <w:pPr>
        <w:jc w:val="both"/>
      </w:pPr>
    </w:p>
    <w:p w:rsidR="00DC3C56" w:rsidRPr="00E00547" w:rsidRDefault="00DC3C56" w:rsidP="00DC3C56">
      <w:pPr>
        <w:jc w:val="both"/>
        <w:rPr>
          <w:b/>
        </w:rPr>
      </w:pPr>
      <w:r w:rsidRPr="00E00547">
        <w:rPr>
          <w:b/>
          <w:bCs/>
        </w:rPr>
        <w:t>What type of evidence does the board want regarding disposal of waste materials?</w:t>
      </w:r>
      <w:r w:rsidRPr="00E00547">
        <w:rPr>
          <w:b/>
        </w:rPr>
        <w:t xml:space="preserve"> </w:t>
      </w:r>
    </w:p>
    <w:p w:rsidR="00DC3C56" w:rsidRPr="001D28F8" w:rsidRDefault="00DC3C56" w:rsidP="00DC3C56">
      <w:pPr>
        <w:ind w:left="720"/>
        <w:jc w:val="both"/>
      </w:pPr>
      <w:r w:rsidRPr="001D28F8">
        <w:t xml:space="preserve">Disposal of all waste materials shall be in conformity with local, state, and federal law </w:t>
      </w:r>
      <w:r>
        <w:t>and regulation t</w:t>
      </w:r>
      <w:r w:rsidRPr="001D28F8">
        <w:t xml:space="preserve">o avoid the possible spread of disease. The funeral service establishment shall provide evidence of </w:t>
      </w:r>
      <w:r>
        <w:t xml:space="preserve">a current </w:t>
      </w:r>
      <w:r w:rsidRPr="001D28F8">
        <w:t xml:space="preserve">contractual agreement with or services provided by a licensed medical waste disposal </w:t>
      </w:r>
      <w:r>
        <w:t>company.</w:t>
      </w:r>
      <w:r w:rsidRPr="001D28F8">
        <w:t xml:space="preserve">  Evidence may include a letter of agreement, a contract or a recent billing for the service</w:t>
      </w:r>
      <w:r>
        <w:t xml:space="preserve">. </w:t>
      </w:r>
      <w:r w:rsidRPr="002307CC">
        <w:t>18VAC65-20-590.</w:t>
      </w:r>
    </w:p>
    <w:p w:rsidR="00DC3C56" w:rsidRPr="001D28F8" w:rsidRDefault="00DC3C56" w:rsidP="00DC3C56">
      <w:pPr>
        <w:jc w:val="both"/>
      </w:pPr>
    </w:p>
    <w:p w:rsidR="00DC3C56" w:rsidRPr="00E00547" w:rsidRDefault="00DC3C56" w:rsidP="00DC3C56">
      <w:pPr>
        <w:jc w:val="both"/>
        <w:rPr>
          <w:b/>
          <w:bCs/>
        </w:rPr>
      </w:pPr>
      <w:r w:rsidRPr="00E00547">
        <w:rPr>
          <w:b/>
          <w:bCs/>
        </w:rPr>
        <w:t xml:space="preserve">Will the board accept electronic copies of requested documents that are no longer current? </w:t>
      </w:r>
    </w:p>
    <w:p w:rsidR="00DC3C56" w:rsidRPr="001D28F8" w:rsidRDefault="00DC3C56" w:rsidP="00DC3C56">
      <w:pPr>
        <w:ind w:left="720"/>
        <w:jc w:val="both"/>
        <w:rPr>
          <w:iCs/>
        </w:rPr>
      </w:pPr>
      <w:r w:rsidRPr="001D28F8">
        <w:rPr>
          <w:bCs/>
        </w:rPr>
        <w:t>Yes, t</w:t>
      </w:r>
      <w:r w:rsidRPr="001D28F8">
        <w:rPr>
          <w:iCs/>
        </w:rPr>
        <w:t>he Board will accept electronic copies of forms that are no longer current.</w:t>
      </w:r>
    </w:p>
    <w:p w:rsidR="00DC3C56" w:rsidRPr="001D28F8" w:rsidRDefault="00DC3C56" w:rsidP="00DC3C56">
      <w:pPr>
        <w:jc w:val="both"/>
      </w:pPr>
    </w:p>
    <w:p w:rsidR="00DC3C56" w:rsidRPr="00E41B8A" w:rsidRDefault="00DC3C56" w:rsidP="00DC3C56">
      <w:pPr>
        <w:pStyle w:val="BodyText"/>
        <w:jc w:val="both"/>
        <w:rPr>
          <w:rFonts w:ascii="Times New Roman" w:hAnsi="Times New Roman"/>
          <w:b/>
          <w:i w:val="0"/>
        </w:rPr>
      </w:pPr>
      <w:r w:rsidRPr="00E00547">
        <w:rPr>
          <w:rFonts w:ascii="Times New Roman" w:hAnsi="Times New Roman"/>
          <w:b/>
          <w:i w:val="0"/>
        </w:rPr>
        <w:t>Can the main funeral service establishment maintain all records, including those for branch establishments</w:t>
      </w:r>
      <w:r w:rsidRPr="00E41B8A">
        <w:rPr>
          <w:rFonts w:ascii="Times New Roman" w:hAnsi="Times New Roman"/>
          <w:b/>
          <w:i w:val="0"/>
        </w:rPr>
        <w:t xml:space="preserve">? </w:t>
      </w:r>
    </w:p>
    <w:p w:rsidR="00DC3C56" w:rsidRPr="00E41B8A" w:rsidRDefault="00DC3C56" w:rsidP="00DC3C56">
      <w:pPr>
        <w:pStyle w:val="BodyText"/>
        <w:ind w:left="720"/>
        <w:jc w:val="both"/>
        <w:rPr>
          <w:rFonts w:ascii="Times New Roman" w:hAnsi="Times New Roman"/>
          <w:i w:val="0"/>
        </w:rPr>
      </w:pPr>
      <w:r w:rsidRPr="00E41B8A">
        <w:rPr>
          <w:rFonts w:ascii="Times New Roman" w:hAnsi="Times New Roman"/>
          <w:i w:val="0"/>
        </w:rPr>
        <w:t>Yes, with the exception of embalming reports, which must be maintained at the site of the embalming pursuant to 18VAC65-20-700(A).</w:t>
      </w:r>
    </w:p>
    <w:p w:rsidR="00DC3C56" w:rsidRPr="001D28F8" w:rsidRDefault="00DC3C56" w:rsidP="00DC3C56">
      <w:pPr>
        <w:jc w:val="both"/>
      </w:pPr>
    </w:p>
    <w:p w:rsidR="00DC3C56" w:rsidRPr="00E00547" w:rsidRDefault="00DC3C56" w:rsidP="00DC3C56">
      <w:pPr>
        <w:jc w:val="both"/>
        <w:rPr>
          <w:b/>
        </w:rPr>
      </w:pPr>
      <w:r w:rsidRPr="00E00547">
        <w:rPr>
          <w:b/>
        </w:rPr>
        <w:t xml:space="preserve">If the funeral home charges the same price for embalming of normal remains and autopsy remains, is it only necessary to list the charge once on the general price list? </w:t>
      </w:r>
    </w:p>
    <w:p w:rsidR="00DC3C56" w:rsidRPr="001D28F8" w:rsidRDefault="00DC3C56" w:rsidP="00DC3C56">
      <w:pPr>
        <w:pStyle w:val="BodyText"/>
        <w:ind w:left="720"/>
        <w:jc w:val="both"/>
        <w:rPr>
          <w:rFonts w:ascii="Times New Roman" w:hAnsi="Times New Roman"/>
          <w:i w:val="0"/>
        </w:rPr>
      </w:pPr>
      <w:r w:rsidRPr="001D28F8">
        <w:rPr>
          <w:rFonts w:ascii="Times New Roman" w:hAnsi="Times New Roman"/>
          <w:i w:val="0"/>
        </w:rPr>
        <w:t>Yes</w:t>
      </w:r>
      <w:r>
        <w:rPr>
          <w:rFonts w:ascii="Times New Roman" w:hAnsi="Times New Roman"/>
          <w:i w:val="0"/>
        </w:rPr>
        <w:t xml:space="preserve">. </w:t>
      </w:r>
      <w:r w:rsidRPr="002307CC">
        <w:rPr>
          <w:rFonts w:ascii="Times New Roman" w:hAnsi="Times New Roman"/>
          <w:i w:val="0"/>
        </w:rPr>
        <w:t>(See Appendix 1 – General Price list)</w:t>
      </w:r>
    </w:p>
    <w:p w:rsidR="00DC3C56" w:rsidRPr="001D28F8" w:rsidRDefault="00DC3C56" w:rsidP="00DC3C56">
      <w:pPr>
        <w:pStyle w:val="BodyText"/>
        <w:jc w:val="both"/>
        <w:rPr>
          <w:rFonts w:ascii="Times New Roman" w:hAnsi="Times New Roman"/>
          <w:i w:val="0"/>
        </w:rPr>
      </w:pPr>
    </w:p>
    <w:p w:rsidR="00DC3C56" w:rsidRPr="00E00547" w:rsidRDefault="00DC3C56" w:rsidP="00DC3C56">
      <w:pPr>
        <w:pStyle w:val="BodyText"/>
        <w:jc w:val="both"/>
        <w:rPr>
          <w:rFonts w:ascii="Times New Roman" w:hAnsi="Times New Roman"/>
          <w:b/>
          <w:i w:val="0"/>
        </w:rPr>
      </w:pPr>
      <w:r w:rsidRPr="00E00547">
        <w:rPr>
          <w:rFonts w:ascii="Times New Roman" w:hAnsi="Times New Roman"/>
          <w:b/>
          <w:i w:val="0"/>
        </w:rPr>
        <w:t xml:space="preserve">Can you provide guidance on the price range for the following categories? </w:t>
      </w:r>
    </w:p>
    <w:p w:rsidR="00DC3C56" w:rsidRDefault="00DC3C56" w:rsidP="00DC3C56">
      <w:pPr>
        <w:pStyle w:val="BodyText"/>
        <w:ind w:left="720"/>
        <w:jc w:val="both"/>
        <w:rPr>
          <w:rFonts w:ascii="Times New Roman" w:hAnsi="Times New Roman"/>
          <w:b/>
          <w:i w:val="0"/>
        </w:rPr>
      </w:pPr>
      <w:r>
        <w:rPr>
          <w:rFonts w:ascii="Times New Roman" w:hAnsi="Times New Roman"/>
          <w:b/>
          <w:i w:val="0"/>
        </w:rPr>
        <w:t>I</w:t>
      </w:r>
      <w:r w:rsidRPr="00AB1002">
        <w:rPr>
          <w:rFonts w:ascii="Times New Roman" w:hAnsi="Times New Roman"/>
          <w:b/>
          <w:i w:val="0"/>
        </w:rPr>
        <w:t>mmediate Burial:</w:t>
      </w:r>
      <w:r w:rsidRPr="001D28F8">
        <w:rPr>
          <w:rFonts w:ascii="Times New Roman" w:hAnsi="Times New Roman"/>
          <w:i w:val="0"/>
        </w:rPr>
        <w:t xml:space="preserve"> Your prices should range from</w:t>
      </w:r>
      <w:r w:rsidR="00144CB6" w:rsidRPr="00A52C7C">
        <w:rPr>
          <w:rFonts w:ascii="Times New Roman" w:hAnsi="Times New Roman"/>
          <w:i w:val="0"/>
        </w:rPr>
        <w:t xml:space="preserve"> the price for </w:t>
      </w:r>
      <w:r w:rsidRPr="001D28F8">
        <w:rPr>
          <w:rFonts w:ascii="Times New Roman" w:hAnsi="Times New Roman"/>
          <w:i w:val="0"/>
        </w:rPr>
        <w:t xml:space="preserve">immediate burial with container provided by purchaser to </w:t>
      </w:r>
      <w:r w:rsidR="00144CB6" w:rsidRPr="00A52C7C">
        <w:rPr>
          <w:rFonts w:ascii="Times New Roman" w:hAnsi="Times New Roman"/>
          <w:i w:val="0"/>
        </w:rPr>
        <w:t>the price for</w:t>
      </w:r>
      <w:r w:rsidRPr="00A52C7C">
        <w:rPr>
          <w:rFonts w:ascii="Times New Roman" w:hAnsi="Times New Roman"/>
          <w:i w:val="0"/>
        </w:rPr>
        <w:t xml:space="preserve"> </w:t>
      </w:r>
      <w:r w:rsidRPr="001D28F8">
        <w:rPr>
          <w:rFonts w:ascii="Times New Roman" w:hAnsi="Times New Roman"/>
          <w:i w:val="0"/>
        </w:rPr>
        <w:t>immediate burial plus your most expensive casket.</w:t>
      </w:r>
      <w:r w:rsidRPr="00A27F6F">
        <w:rPr>
          <w:b/>
          <w:i w:val="0"/>
        </w:rPr>
        <w:t xml:space="preserve"> </w:t>
      </w:r>
    </w:p>
    <w:p w:rsidR="00DC3C56" w:rsidRPr="001D28F8" w:rsidRDefault="00DC3C56" w:rsidP="00DC3C56">
      <w:pPr>
        <w:pStyle w:val="BodyText"/>
        <w:jc w:val="both"/>
        <w:rPr>
          <w:rFonts w:ascii="Times New Roman" w:hAnsi="Times New Roman"/>
          <w:i w:val="0"/>
        </w:rPr>
      </w:pPr>
    </w:p>
    <w:p w:rsidR="00DC3C56" w:rsidRPr="001D28F8" w:rsidRDefault="00DC3C56" w:rsidP="00DC3C56">
      <w:pPr>
        <w:pStyle w:val="BodyText"/>
        <w:ind w:left="720"/>
        <w:jc w:val="both"/>
        <w:rPr>
          <w:rFonts w:ascii="Times New Roman" w:hAnsi="Times New Roman"/>
          <w:i w:val="0"/>
        </w:rPr>
      </w:pPr>
      <w:r w:rsidRPr="00AB1002">
        <w:rPr>
          <w:rFonts w:ascii="Times New Roman" w:hAnsi="Times New Roman"/>
          <w:b/>
          <w:i w:val="0"/>
        </w:rPr>
        <w:t>Direct Cremation</w:t>
      </w:r>
      <w:r w:rsidRPr="001D28F8">
        <w:rPr>
          <w:rFonts w:ascii="Times New Roman" w:hAnsi="Times New Roman"/>
          <w:i w:val="0"/>
        </w:rPr>
        <w:t xml:space="preserve">: A price range must be given for a direct cremation.  Your prices should range from </w:t>
      </w:r>
      <w:r w:rsidR="00144CB6" w:rsidRPr="00A52C7C">
        <w:rPr>
          <w:rFonts w:ascii="Times New Roman" w:hAnsi="Times New Roman"/>
          <w:i w:val="0"/>
        </w:rPr>
        <w:t xml:space="preserve">the price of </w:t>
      </w:r>
      <w:r w:rsidRPr="001D28F8">
        <w:rPr>
          <w:rFonts w:ascii="Times New Roman" w:hAnsi="Times New Roman"/>
          <w:i w:val="0"/>
        </w:rPr>
        <w:t xml:space="preserve">direct cremation with a container provided by the purchaser to the price for direct cremation plus the </w:t>
      </w:r>
      <w:r>
        <w:rPr>
          <w:rFonts w:ascii="Times New Roman" w:hAnsi="Times New Roman"/>
          <w:i w:val="0"/>
        </w:rPr>
        <w:t xml:space="preserve">most expensive wooden casket acceptable for cremation or the most expensive cremation </w:t>
      </w:r>
      <w:r w:rsidRPr="00A52C7C">
        <w:rPr>
          <w:rFonts w:ascii="Times New Roman" w:hAnsi="Times New Roman"/>
          <w:i w:val="0"/>
        </w:rPr>
        <w:t>casket</w:t>
      </w:r>
      <w:r w:rsidR="00144CB6" w:rsidRPr="00A52C7C">
        <w:rPr>
          <w:rFonts w:ascii="Times New Roman" w:hAnsi="Times New Roman"/>
          <w:i w:val="0"/>
        </w:rPr>
        <w:t>, whichever is higher</w:t>
      </w:r>
      <w:r w:rsidRPr="001D28F8">
        <w:rPr>
          <w:rFonts w:ascii="Times New Roman" w:hAnsi="Times New Roman"/>
          <w:i w:val="0"/>
        </w:rPr>
        <w:t>.  When in doubt, please refer to Appendix 1 for reference or call the board office.</w:t>
      </w:r>
    </w:p>
    <w:p w:rsidR="00DC3C56" w:rsidRDefault="00DC3C56" w:rsidP="00DC3C56">
      <w:pPr>
        <w:ind w:left="720"/>
        <w:jc w:val="both"/>
        <w:rPr>
          <w:b/>
        </w:rPr>
      </w:pPr>
    </w:p>
    <w:p w:rsidR="00DC3C56" w:rsidRDefault="00DC3C56" w:rsidP="00DC3C56">
      <w:pPr>
        <w:ind w:left="720"/>
        <w:jc w:val="both"/>
      </w:pPr>
      <w:r w:rsidRPr="00AB1002">
        <w:rPr>
          <w:b/>
        </w:rPr>
        <w:t>Funeral Merchandise</w:t>
      </w:r>
      <w:r w:rsidRPr="001D28F8">
        <w:t>:  The casket and outer burial container price rang</w:t>
      </w:r>
      <w:r w:rsidRPr="00A52C7C">
        <w:t>e</w:t>
      </w:r>
      <w:r w:rsidR="00791326" w:rsidRPr="00A52C7C">
        <w:t>s</w:t>
      </w:r>
      <w:r w:rsidRPr="00A52C7C">
        <w:t xml:space="preserve"> </w:t>
      </w:r>
      <w:r w:rsidRPr="001D28F8">
        <w:t xml:space="preserve">shall match the </w:t>
      </w:r>
      <w:r w:rsidR="00791326" w:rsidRPr="00A52C7C">
        <w:t xml:space="preserve">prices on the </w:t>
      </w:r>
      <w:r w:rsidRPr="00A52C7C">
        <w:t>Casket and Outer Burial</w:t>
      </w:r>
      <w:r w:rsidR="00791326" w:rsidRPr="00A52C7C">
        <w:t xml:space="preserve"> Container</w:t>
      </w:r>
      <w:r w:rsidRPr="00A52C7C">
        <w:t xml:space="preserve"> </w:t>
      </w:r>
      <w:r w:rsidRPr="001D28F8">
        <w:t>Price Lists.  The price does not include tax on the merchandise.</w:t>
      </w:r>
    </w:p>
    <w:p w:rsidR="00791326" w:rsidRDefault="00791326" w:rsidP="00791326">
      <w:pPr>
        <w:jc w:val="both"/>
      </w:pPr>
    </w:p>
    <w:p w:rsidR="00C90C30" w:rsidRDefault="006F1370" w:rsidP="00A52C7C">
      <w:pPr>
        <w:jc w:val="both"/>
        <w:rPr>
          <w:b/>
        </w:rPr>
      </w:pPr>
      <w:r w:rsidRPr="00A52C7C">
        <w:rPr>
          <w:b/>
        </w:rPr>
        <w:t>Is manufacturer information</w:t>
      </w:r>
      <w:r w:rsidR="00791326" w:rsidRPr="00A52C7C">
        <w:rPr>
          <w:b/>
        </w:rPr>
        <w:t xml:space="preserve"> required for </w:t>
      </w:r>
      <w:r w:rsidRPr="00A52C7C">
        <w:rPr>
          <w:b/>
        </w:rPr>
        <w:t>casket and outer burial container price lists</w:t>
      </w:r>
      <w:r w:rsidR="00791326" w:rsidRPr="00A52C7C">
        <w:rPr>
          <w:b/>
        </w:rPr>
        <w:t>?</w:t>
      </w:r>
    </w:p>
    <w:p w:rsidR="00DC3C56" w:rsidRPr="002307CC" w:rsidRDefault="006F1370" w:rsidP="00F159BD">
      <w:pPr>
        <w:ind w:left="720"/>
        <w:rPr>
          <w:b/>
        </w:rPr>
      </w:pPr>
      <w:r w:rsidRPr="00A52C7C">
        <w:t xml:space="preserve">Yes. </w:t>
      </w:r>
      <w:r w:rsidR="00DC3C56" w:rsidRPr="001D28F8">
        <w:t xml:space="preserve">Although </w:t>
      </w:r>
      <w:r>
        <w:t xml:space="preserve">the </w:t>
      </w:r>
      <w:r w:rsidR="00DC3C56" w:rsidRPr="001D28F8">
        <w:t>FTC does not require the manufacturers’ names on the price lists, the Board does require this as means to identify the caskets and outer burial containers.</w:t>
      </w:r>
      <w:r w:rsidR="00DC3C56">
        <w:t xml:space="preserve"> </w:t>
      </w:r>
    </w:p>
    <w:p w:rsidR="00DC3C56" w:rsidRPr="002307CC" w:rsidRDefault="00DC3C56" w:rsidP="00DC3C56">
      <w:r>
        <w:tab/>
      </w:r>
      <w:r w:rsidRPr="002307CC">
        <w:t>18VAC65-20-630; Appendix I and II.</w:t>
      </w:r>
    </w:p>
    <w:p w:rsidR="00DC3C56" w:rsidRPr="001D28F8" w:rsidRDefault="00DC3C56" w:rsidP="00DC3C56">
      <w:pPr>
        <w:jc w:val="both"/>
        <w:rPr>
          <w:iCs/>
        </w:rPr>
      </w:pPr>
    </w:p>
    <w:p w:rsidR="00DC3C56" w:rsidRPr="00E00547" w:rsidRDefault="00DC3C56" w:rsidP="00DC3C56">
      <w:pPr>
        <w:jc w:val="both"/>
        <w:rPr>
          <w:b/>
          <w:bCs/>
        </w:rPr>
      </w:pPr>
      <w:r w:rsidRPr="00E00547">
        <w:rPr>
          <w:b/>
          <w:bCs/>
        </w:rPr>
        <w:t xml:space="preserve">Must the preneed list be separate from the insurance company’s list and can a blanket statement be used indicating if 10% of the funds are retained? </w:t>
      </w:r>
    </w:p>
    <w:p w:rsidR="00DC3C56" w:rsidRDefault="00DC3C56" w:rsidP="00DC3C56">
      <w:pPr>
        <w:ind w:left="720"/>
        <w:jc w:val="both"/>
        <w:rPr>
          <w:bCs/>
        </w:rPr>
      </w:pPr>
      <w:r>
        <w:t>T</w:t>
      </w:r>
      <w:r w:rsidRPr="001D28F8">
        <w:t xml:space="preserve">he list may have a blanket statement indicating whether 10% of the funds are retained and if funeral merchandise is stored on the premises. </w:t>
      </w:r>
      <w:r>
        <w:t>18VAC65-30-70.</w:t>
      </w:r>
      <w:r w:rsidRPr="001D28F8">
        <w:t xml:space="preserve"> </w:t>
      </w:r>
      <w:proofErr w:type="gramStart"/>
      <w:r w:rsidRPr="001D28F8">
        <w:t>The</w:t>
      </w:r>
      <w:proofErr w:type="gramEnd"/>
      <w:r w:rsidRPr="001D28F8">
        <w:t xml:space="preserve"> preneed list must be separate from the insurance company’s list and contain the required information stipulated </w:t>
      </w:r>
      <w:r w:rsidRPr="00E41B8A">
        <w:rPr>
          <w:bCs/>
        </w:rPr>
        <w:t>by 18VAC65-30-70.</w:t>
      </w:r>
    </w:p>
    <w:p w:rsidR="00DC3C56" w:rsidRDefault="00DC3C56" w:rsidP="00DC3C56">
      <w:pPr>
        <w:jc w:val="both"/>
        <w:rPr>
          <w:bCs/>
        </w:rPr>
      </w:pPr>
    </w:p>
    <w:p w:rsidR="00DC3C56" w:rsidRPr="00E00547" w:rsidRDefault="00DC3C56" w:rsidP="00DC3C56">
      <w:pPr>
        <w:jc w:val="both"/>
        <w:rPr>
          <w:b/>
          <w:bCs/>
        </w:rPr>
      </w:pPr>
      <w:r w:rsidRPr="00E00547">
        <w:rPr>
          <w:b/>
          <w:bCs/>
        </w:rPr>
        <w:t xml:space="preserve">When do you add a name to the </w:t>
      </w:r>
      <w:r>
        <w:rPr>
          <w:b/>
          <w:bCs/>
        </w:rPr>
        <w:t xml:space="preserve">preneed </w:t>
      </w:r>
      <w:r w:rsidRPr="00E00547">
        <w:rPr>
          <w:b/>
          <w:bCs/>
        </w:rPr>
        <w:t xml:space="preserve">list and when should you remove a name from the chronological list?  </w:t>
      </w:r>
    </w:p>
    <w:p w:rsidR="00DC3C56" w:rsidRDefault="00DC3C56" w:rsidP="00DC3C56">
      <w:pPr>
        <w:ind w:left="720"/>
        <w:jc w:val="both"/>
        <w:rPr>
          <w:bCs/>
        </w:rPr>
      </w:pPr>
      <w:r>
        <w:rPr>
          <w:bCs/>
        </w:rPr>
        <w:t xml:space="preserve">The proper time to add a name to the preneed list is when the funeral director and the buyer sign the pre-need contract. The time to remove a name from the list is after the death of the contract beneficiary. </w:t>
      </w:r>
    </w:p>
    <w:p w:rsidR="00DC3C56" w:rsidRDefault="00DC3C56" w:rsidP="00DC3C56">
      <w:pPr>
        <w:ind w:left="720"/>
        <w:jc w:val="both"/>
        <w:rPr>
          <w:bCs/>
        </w:rPr>
      </w:pPr>
    </w:p>
    <w:p w:rsidR="00DC3C56" w:rsidRPr="00E00547" w:rsidRDefault="00DC3C56" w:rsidP="00DC3C56">
      <w:pPr>
        <w:jc w:val="both"/>
        <w:rPr>
          <w:b/>
          <w:bCs/>
        </w:rPr>
      </w:pPr>
      <w:r w:rsidRPr="00E00547">
        <w:rPr>
          <w:b/>
          <w:bCs/>
        </w:rPr>
        <w:t xml:space="preserve">What is a proper ventilation system? </w:t>
      </w:r>
    </w:p>
    <w:p w:rsidR="00DC3C56" w:rsidRPr="002307CC" w:rsidRDefault="00DC3C56" w:rsidP="00DC3C56">
      <w:pPr>
        <w:ind w:left="720"/>
        <w:jc w:val="both"/>
        <w:rPr>
          <w:bCs/>
        </w:rPr>
      </w:pPr>
      <w:r>
        <w:rPr>
          <w:bCs/>
        </w:rPr>
        <w:t xml:space="preserve">The preparation room must have a ventilation system, which operates and is appropriate to the size and function of the room, and takes the air from the inside to the outside of the room. Holding a piece of paper near the vent usually will provide an adequate test for an operable ventilation system. </w:t>
      </w:r>
      <w:r w:rsidRPr="002307CC">
        <w:rPr>
          <w:bCs/>
          <w:i/>
        </w:rPr>
        <w:t>See, e.g.</w:t>
      </w:r>
      <w:proofErr w:type="gramStart"/>
      <w:r w:rsidRPr="002307CC">
        <w:rPr>
          <w:bCs/>
          <w:i/>
        </w:rPr>
        <w:t>,</w:t>
      </w:r>
      <w:r w:rsidRPr="002307CC">
        <w:rPr>
          <w:bCs/>
        </w:rPr>
        <w:t>18VAC65</w:t>
      </w:r>
      <w:proofErr w:type="gramEnd"/>
      <w:r w:rsidRPr="002307CC">
        <w:rPr>
          <w:bCs/>
        </w:rPr>
        <w:t>-20-580(1).</w:t>
      </w:r>
    </w:p>
    <w:p w:rsidR="00DC3C56" w:rsidRDefault="00DC3C56" w:rsidP="00DC3C56">
      <w:pPr>
        <w:jc w:val="both"/>
        <w:rPr>
          <w:bCs/>
        </w:rPr>
      </w:pPr>
    </w:p>
    <w:p w:rsidR="00DC3C56" w:rsidRPr="00E00547" w:rsidRDefault="00DC3C56" w:rsidP="00DC3C56">
      <w:pPr>
        <w:autoSpaceDE w:val="0"/>
        <w:autoSpaceDN w:val="0"/>
        <w:adjustRightInd w:val="0"/>
        <w:jc w:val="both"/>
        <w:rPr>
          <w:b/>
        </w:rPr>
      </w:pPr>
      <w:r w:rsidRPr="00E00547">
        <w:rPr>
          <w:b/>
          <w:bCs/>
        </w:rPr>
        <w:t xml:space="preserve">The language in </w:t>
      </w:r>
      <w:r w:rsidRPr="002307CC">
        <w:rPr>
          <w:b/>
          <w:bCs/>
        </w:rPr>
        <w:t>Virginia Code § 54.1-2811.1 (B)</w:t>
      </w:r>
      <w:r>
        <w:rPr>
          <w:b/>
          <w:bCs/>
        </w:rPr>
        <w:t xml:space="preserve"> </w:t>
      </w:r>
      <w:r w:rsidRPr="00E00547">
        <w:rPr>
          <w:b/>
          <w:bCs/>
        </w:rPr>
        <w:t>is somewhat vague in the actual refrigeration requirement.  The language reads “</w:t>
      </w:r>
      <w:r w:rsidRPr="00E00547">
        <w:rPr>
          <w:b/>
        </w:rPr>
        <w:t>no more than approximately 40 degrees.”  What temperature will be within acceptable limits?</w:t>
      </w:r>
    </w:p>
    <w:p w:rsidR="00DC3C56" w:rsidRDefault="00DC3C56" w:rsidP="00DC3C56">
      <w:pPr>
        <w:autoSpaceDE w:val="0"/>
        <w:autoSpaceDN w:val="0"/>
        <w:adjustRightInd w:val="0"/>
        <w:ind w:left="720"/>
        <w:jc w:val="both"/>
      </w:pPr>
      <w:r w:rsidRPr="00AE1DE4">
        <w:t>T</w:t>
      </w:r>
      <w:r>
        <w:t>he Board agreed to accept a 10% variance of the required temperature.</w:t>
      </w:r>
    </w:p>
    <w:p w:rsidR="006F1370" w:rsidRDefault="006F1370" w:rsidP="006F1370">
      <w:pPr>
        <w:autoSpaceDE w:val="0"/>
        <w:autoSpaceDN w:val="0"/>
        <w:adjustRightInd w:val="0"/>
        <w:jc w:val="both"/>
      </w:pPr>
    </w:p>
    <w:p w:rsidR="006F1370" w:rsidRPr="00A52C7C" w:rsidRDefault="006F1370" w:rsidP="006F1370">
      <w:pPr>
        <w:autoSpaceDE w:val="0"/>
        <w:autoSpaceDN w:val="0"/>
        <w:adjustRightInd w:val="0"/>
        <w:jc w:val="both"/>
        <w:rPr>
          <w:b/>
        </w:rPr>
      </w:pPr>
      <w:r w:rsidRPr="00A52C7C">
        <w:rPr>
          <w:b/>
        </w:rPr>
        <w:t xml:space="preserve">What </w:t>
      </w:r>
      <w:r w:rsidR="00D42980" w:rsidRPr="00A52C7C">
        <w:rPr>
          <w:b/>
        </w:rPr>
        <w:t>constitutes evidence of placing and</w:t>
      </w:r>
      <w:r w:rsidRPr="00A52C7C">
        <w:rPr>
          <w:b/>
        </w:rPr>
        <w:t xml:space="preserve"> maintaining a body in refrigeration?</w:t>
      </w:r>
    </w:p>
    <w:p w:rsidR="006F1370" w:rsidRPr="00A52C7C" w:rsidRDefault="00D42980" w:rsidP="00D42980">
      <w:pPr>
        <w:autoSpaceDE w:val="0"/>
        <w:autoSpaceDN w:val="0"/>
        <w:adjustRightInd w:val="0"/>
        <w:ind w:left="720"/>
        <w:jc w:val="both"/>
        <w:rPr>
          <w:b/>
        </w:rPr>
      </w:pPr>
      <w:r w:rsidRPr="00A52C7C">
        <w:rPr>
          <w:rFonts w:ascii="PT Serif" w:hAnsi="PT Serif"/>
        </w:rPr>
        <w:t>Evidence of compliance with the requirement for refrigeration shall be maintained as a log entry or other documentation indicating times of placement in and removal of a body from refrigeration. 18VAC65-20-581(C).</w:t>
      </w:r>
    </w:p>
    <w:p w:rsidR="00D42980" w:rsidRDefault="00D42980" w:rsidP="006F1370">
      <w:pPr>
        <w:autoSpaceDE w:val="0"/>
        <w:autoSpaceDN w:val="0"/>
        <w:adjustRightInd w:val="0"/>
        <w:jc w:val="both"/>
      </w:pPr>
    </w:p>
    <w:p w:rsidR="000D277A" w:rsidRPr="00A52C7C" w:rsidRDefault="000D277A" w:rsidP="000D277A">
      <w:pPr>
        <w:autoSpaceDE w:val="0"/>
        <w:autoSpaceDN w:val="0"/>
        <w:adjustRightInd w:val="0"/>
        <w:jc w:val="both"/>
        <w:rPr>
          <w:b/>
        </w:rPr>
      </w:pPr>
      <w:r w:rsidRPr="00A52C7C">
        <w:rPr>
          <w:b/>
        </w:rPr>
        <w:t>Can the preparation room for a funeral establishment be located in a separate building on the premises, or must the preparation room be contained within the main structure of the funeral establishment?</w:t>
      </w:r>
    </w:p>
    <w:p w:rsidR="00DC3C56" w:rsidRPr="00A52C7C" w:rsidRDefault="00705256" w:rsidP="003B71D6">
      <w:pPr>
        <w:autoSpaceDE w:val="0"/>
        <w:autoSpaceDN w:val="0"/>
        <w:adjustRightInd w:val="0"/>
        <w:ind w:left="720"/>
        <w:jc w:val="both"/>
      </w:pPr>
      <w:r w:rsidRPr="00A52C7C">
        <w:rPr>
          <w:rFonts w:ascii="PT Serif" w:hAnsi="PT Serif"/>
        </w:rPr>
        <w:t xml:space="preserve">The Board’s statues and regulations do not specify that the preparation </w:t>
      </w:r>
      <w:r w:rsidR="00C8144A" w:rsidRPr="00A52C7C">
        <w:rPr>
          <w:rFonts w:ascii="PT Serif" w:hAnsi="PT Serif"/>
        </w:rPr>
        <w:t xml:space="preserve">room </w:t>
      </w:r>
      <w:r w:rsidRPr="00A52C7C">
        <w:rPr>
          <w:rFonts w:ascii="PT Serif" w:hAnsi="PT Serif"/>
        </w:rPr>
        <w:t xml:space="preserve">be contained within the main establishment building, as long as it is part of the property licensed as the main or branch establishment and is encompassed by the certificate of occupancy issued by the local building official.  A preparation room located at a separate premises or property </w:t>
      </w:r>
      <w:r w:rsidR="006F1370" w:rsidRPr="00A52C7C">
        <w:rPr>
          <w:rFonts w:ascii="PT Serif" w:hAnsi="PT Serif"/>
        </w:rPr>
        <w:t xml:space="preserve">with a separate or different address </w:t>
      </w:r>
      <w:r w:rsidRPr="00A52C7C">
        <w:rPr>
          <w:rFonts w:ascii="PT Serif" w:hAnsi="PT Serif"/>
        </w:rPr>
        <w:t>sh</w:t>
      </w:r>
      <w:r w:rsidR="00C8144A" w:rsidRPr="00A52C7C">
        <w:rPr>
          <w:rFonts w:ascii="PT Serif" w:hAnsi="PT Serif"/>
        </w:rPr>
        <w:t>ould</w:t>
      </w:r>
      <w:r w:rsidRPr="00A52C7C">
        <w:rPr>
          <w:rFonts w:ascii="PT Serif" w:hAnsi="PT Serif"/>
        </w:rPr>
        <w:t xml:space="preserve"> be licensed as a separate funeral services establishment.  </w:t>
      </w:r>
      <w:r w:rsidR="003B71D6" w:rsidRPr="00A52C7C">
        <w:t>The facility should ensure the appropriate care and handling of decedents who may be transported between separate buildings on the premises of the funeral establishment.</w:t>
      </w:r>
      <w:r w:rsidR="0023001B" w:rsidRPr="00A52C7C">
        <w:t xml:space="preserve"> </w:t>
      </w:r>
      <w:r w:rsidR="00C8144A" w:rsidRPr="00A52C7C">
        <w:t>See Va. Code §§ 54.1-2800, 54.1-2811, 54.1-2811.1</w:t>
      </w:r>
      <w:r w:rsidR="0023001B" w:rsidRPr="00A52C7C">
        <w:t>.</w:t>
      </w:r>
    </w:p>
    <w:p w:rsidR="00DC3C56" w:rsidRDefault="00DC3C56" w:rsidP="00DC3C56"/>
    <w:p w:rsidR="00CA741F" w:rsidRPr="00A52C7C" w:rsidRDefault="001A0234">
      <w:pPr>
        <w:rPr>
          <w:b/>
        </w:rPr>
      </w:pPr>
      <w:r w:rsidRPr="00A52C7C">
        <w:rPr>
          <w:b/>
        </w:rPr>
        <w:t xml:space="preserve">Can a crematory open a second retort in a second building under the crematory’s singular registration?  </w:t>
      </w:r>
    </w:p>
    <w:p w:rsidR="001A0234" w:rsidRPr="00A52C7C" w:rsidRDefault="001A0234" w:rsidP="003B71D6">
      <w:pPr>
        <w:ind w:left="720"/>
        <w:jc w:val="both"/>
      </w:pPr>
      <w:r w:rsidRPr="00A52C7C">
        <w:t xml:space="preserve">According to </w:t>
      </w:r>
      <w:r w:rsidR="00C8144A" w:rsidRPr="00A52C7C">
        <w:t xml:space="preserve">the </w:t>
      </w:r>
      <w:r w:rsidR="00C8144A" w:rsidRPr="00A52C7C">
        <w:rPr>
          <w:i/>
        </w:rPr>
        <w:t>Code of Virginia</w:t>
      </w:r>
      <w:r w:rsidRPr="00A52C7C">
        <w:t xml:space="preserve">, a “crematory” </w:t>
      </w:r>
      <w:r w:rsidRPr="00A52C7C">
        <w:rPr>
          <w:rFonts w:ascii="PT Serif" w:hAnsi="PT Serif"/>
        </w:rPr>
        <w:t xml:space="preserve">or "crematorium" means </w:t>
      </w:r>
      <w:r w:rsidR="00C8144A" w:rsidRPr="00A52C7C">
        <w:rPr>
          <w:rFonts w:ascii="PT Serif" w:hAnsi="PT Serif"/>
        </w:rPr>
        <w:t>“</w:t>
      </w:r>
      <w:r w:rsidRPr="00A52C7C">
        <w:rPr>
          <w:rFonts w:ascii="PT Serif" w:hAnsi="PT Serif"/>
        </w:rPr>
        <w:t>a facility containing a furnace for cremation of dead human bodies.</w:t>
      </w:r>
      <w:r w:rsidR="00C8144A" w:rsidRPr="00A52C7C">
        <w:rPr>
          <w:rFonts w:ascii="PT Serif" w:hAnsi="PT Serif"/>
        </w:rPr>
        <w:t>”</w:t>
      </w:r>
      <w:r w:rsidRPr="00A52C7C">
        <w:rPr>
          <w:rFonts w:ascii="PT Serif" w:hAnsi="PT Serif"/>
        </w:rPr>
        <w:t xml:space="preserve">  If the second retort is located on a separate property with a separate address, the retort in the second building should be registered separately as a crematory.  A crematory that does not provide funeral services directly to the public is not required to obtain a separate license as a funeral establishment.</w:t>
      </w:r>
      <w:r w:rsidR="0023001B" w:rsidRPr="00A52C7C">
        <w:rPr>
          <w:rFonts w:ascii="PT Serif" w:hAnsi="PT Serif"/>
        </w:rPr>
        <w:t xml:space="preserve"> </w:t>
      </w:r>
      <w:r w:rsidR="00DE4143" w:rsidRPr="00A52C7C">
        <w:rPr>
          <w:rFonts w:ascii="PT Serif" w:hAnsi="PT Serif"/>
        </w:rPr>
        <w:t xml:space="preserve">Va. Code </w:t>
      </w:r>
      <w:r w:rsidR="00DE4143" w:rsidRPr="00A52C7C">
        <w:rPr>
          <w:rFonts w:ascii="PT Serif" w:hAnsi="PT Serif" w:hint="eastAsia"/>
        </w:rPr>
        <w:t>§</w:t>
      </w:r>
      <w:r w:rsidR="00C8144A" w:rsidRPr="00A52C7C">
        <w:rPr>
          <w:rFonts w:ascii="PT Serif" w:hAnsi="PT Serif" w:hint="eastAsia"/>
        </w:rPr>
        <w:t>§</w:t>
      </w:r>
      <w:r w:rsidR="00DE4143" w:rsidRPr="00A52C7C">
        <w:t xml:space="preserve"> </w:t>
      </w:r>
      <w:r w:rsidR="00C8144A" w:rsidRPr="00A52C7C">
        <w:t xml:space="preserve">54.1-2800, </w:t>
      </w:r>
      <w:r w:rsidR="0023001B" w:rsidRPr="00A52C7C">
        <w:t>54.1-2814.1</w:t>
      </w:r>
      <w:r w:rsidR="00DE4143" w:rsidRPr="00A52C7C">
        <w:t>.</w:t>
      </w:r>
    </w:p>
    <w:p w:rsidR="001A0234" w:rsidRDefault="001A0234"/>
    <w:p w:rsidR="00244395" w:rsidRPr="00A52C7C" w:rsidRDefault="003B71D6" w:rsidP="00244395">
      <w:pPr>
        <w:rPr>
          <w:b/>
        </w:rPr>
      </w:pPr>
      <w:r w:rsidRPr="00A52C7C">
        <w:rPr>
          <w:b/>
        </w:rPr>
        <w:t xml:space="preserve">If embalming </w:t>
      </w:r>
      <w:r w:rsidR="00244395" w:rsidRPr="00A52C7C">
        <w:rPr>
          <w:b/>
        </w:rPr>
        <w:t>is included as a charge in a</w:t>
      </w:r>
      <w:r w:rsidRPr="00A52C7C">
        <w:rPr>
          <w:b/>
        </w:rPr>
        <w:t xml:space="preserve"> preneed contract, </w:t>
      </w:r>
      <w:r w:rsidR="00244395" w:rsidRPr="00A52C7C">
        <w:rPr>
          <w:b/>
        </w:rPr>
        <w:t>is this</w:t>
      </w:r>
      <w:r w:rsidRPr="00A52C7C">
        <w:rPr>
          <w:b/>
        </w:rPr>
        <w:t xml:space="preserve"> considered express </w:t>
      </w:r>
      <w:r w:rsidR="00244395" w:rsidRPr="00A52C7C">
        <w:rPr>
          <w:b/>
        </w:rPr>
        <w:t>permission</w:t>
      </w:r>
      <w:r w:rsidRPr="00A52C7C">
        <w:rPr>
          <w:b/>
        </w:rPr>
        <w:t xml:space="preserve"> to embalm</w:t>
      </w:r>
      <w:r w:rsidR="00244395" w:rsidRPr="00A52C7C">
        <w:rPr>
          <w:b/>
        </w:rPr>
        <w:t xml:space="preserve"> at-need</w:t>
      </w:r>
      <w:r w:rsidRPr="00A52C7C">
        <w:rPr>
          <w:b/>
        </w:rPr>
        <w:t>?</w:t>
      </w:r>
    </w:p>
    <w:p w:rsidR="00244395" w:rsidRPr="00A52C7C" w:rsidRDefault="00244395" w:rsidP="00177328">
      <w:pPr>
        <w:ind w:left="720"/>
        <w:jc w:val="both"/>
      </w:pPr>
      <w:r w:rsidRPr="00A52C7C">
        <w:t>A dead human body shall not be embalmed in the absence of express permission by a next of kin of the deceased or a court order.  Va. Code §§ 54.1- 2806(26), 54.1-2811.1 (B).  Express permission by a next of kin for embalming means written authorization to embalm as a specific and separate statement on a document or contract provided</w:t>
      </w:r>
      <w:r w:rsidR="00C8144A" w:rsidRPr="00A52C7C">
        <w:t xml:space="preserve"> by the funeral establishment. 18VAC65-20-510</w:t>
      </w:r>
      <w:r w:rsidRPr="00A52C7C">
        <w:t>.</w:t>
      </w:r>
    </w:p>
    <w:p w:rsidR="00244395" w:rsidRPr="00A52C7C" w:rsidRDefault="00244395" w:rsidP="00177328">
      <w:pPr>
        <w:jc w:val="both"/>
      </w:pPr>
    </w:p>
    <w:p w:rsidR="006F1370" w:rsidRDefault="00244395" w:rsidP="00F159BD">
      <w:pPr>
        <w:ind w:left="720"/>
        <w:jc w:val="both"/>
      </w:pPr>
      <w:r w:rsidRPr="00A52C7C">
        <w:t>The contract buyer or purchaser of a preneed contract may be the person who passes, not their next of kin</w:t>
      </w:r>
      <w:r w:rsidR="00177328" w:rsidRPr="00A52C7C">
        <w:t>, and</w:t>
      </w:r>
      <w:r w:rsidRPr="00A52C7C">
        <w:t xml:space="preserve"> the wording of the express permission language references permission given at-need rather than preneed (next of kin </w:t>
      </w:r>
      <w:r w:rsidRPr="00A52C7C">
        <w:rPr>
          <w:i/>
        </w:rPr>
        <w:t>of the deceased</w:t>
      </w:r>
      <w:r w:rsidRPr="00A52C7C">
        <w:t>).  Accordingly, unless there is additional documentation indicating express permission to embalm, the inclusion of an embalming charge in a preneed contract alone would not constitute express permission.</w:t>
      </w:r>
    </w:p>
    <w:sectPr w:rsidR="006F1370" w:rsidSect="00595A7F">
      <w:headerReference w:type="even" r:id="rId6"/>
      <w:headerReference w:type="default" r:id="rId7"/>
      <w:footerReference w:type="even" r:id="rId8"/>
      <w:footerReference w:type="default" r:id="rId9"/>
      <w:pgSz w:w="12240" w:h="15840" w:code="1"/>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CB6" w:rsidRDefault="00144CB6" w:rsidP="00144CB6">
      <w:r>
        <w:separator/>
      </w:r>
    </w:p>
  </w:endnote>
  <w:endnote w:type="continuationSeparator" w:id="0">
    <w:p w:rsidR="00144CB6" w:rsidRDefault="00144CB6" w:rsidP="0014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T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B1" w:rsidRDefault="00915622" w:rsidP="003C5B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6BB1" w:rsidRDefault="00381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B1" w:rsidRDefault="00915622" w:rsidP="003C5B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1C20">
      <w:rPr>
        <w:rStyle w:val="PageNumber"/>
        <w:noProof/>
      </w:rPr>
      <w:t>1</w:t>
    </w:r>
    <w:r>
      <w:rPr>
        <w:rStyle w:val="PageNumber"/>
      </w:rPr>
      <w:fldChar w:fldCharType="end"/>
    </w:r>
  </w:p>
  <w:p w:rsidR="008D6BB1" w:rsidRDefault="00381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CB6" w:rsidRDefault="00144CB6" w:rsidP="00144CB6">
      <w:r>
        <w:separator/>
      </w:r>
    </w:p>
  </w:footnote>
  <w:footnote w:type="continuationSeparator" w:id="0">
    <w:p w:rsidR="00144CB6" w:rsidRDefault="00144CB6" w:rsidP="0014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B1" w:rsidRDefault="0091562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D6BB1" w:rsidRDefault="00381C20">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B1" w:rsidRPr="009F4732" w:rsidRDefault="00915622" w:rsidP="00595A7F">
    <w:pPr>
      <w:pStyle w:val="Header"/>
      <w:ind w:right="360"/>
      <w:rPr>
        <w:sz w:val="22"/>
        <w:szCs w:val="22"/>
      </w:rPr>
    </w:pPr>
    <w:r w:rsidRPr="009F4732">
      <w:rPr>
        <w:sz w:val="22"/>
        <w:szCs w:val="22"/>
      </w:rPr>
      <w:t>Guidance document:  65-11</w:t>
    </w:r>
    <w:r w:rsidRPr="009F4732">
      <w:rPr>
        <w:sz w:val="22"/>
        <w:szCs w:val="22"/>
      </w:rPr>
      <w:tab/>
    </w:r>
    <w:r w:rsidRPr="009F4732">
      <w:rPr>
        <w:sz w:val="22"/>
        <w:szCs w:val="22"/>
      </w:rPr>
      <w:tab/>
      <w:t xml:space="preserve">Revised:  </w:t>
    </w:r>
    <w:r w:rsidR="00BF1460" w:rsidRPr="009F4732">
      <w:rPr>
        <w:sz w:val="22"/>
        <w:szCs w:val="22"/>
      </w:rPr>
      <w:t>January 19, 2021</w:t>
    </w:r>
  </w:p>
  <w:p w:rsidR="009F4732" w:rsidRPr="009F4732" w:rsidRDefault="009F4732" w:rsidP="00595A7F">
    <w:pPr>
      <w:pStyle w:val="Header"/>
      <w:ind w:right="360"/>
      <w:rPr>
        <w:sz w:val="22"/>
        <w:szCs w:val="22"/>
      </w:rPr>
    </w:pPr>
    <w:r w:rsidRPr="009F4732">
      <w:rPr>
        <w:sz w:val="22"/>
        <w:szCs w:val="22"/>
      </w:rPr>
      <w:tab/>
    </w:r>
    <w:r w:rsidRPr="009F4732">
      <w:rPr>
        <w:sz w:val="22"/>
        <w:szCs w:val="22"/>
      </w:rPr>
      <w:tab/>
      <w:t>Effective: March 1</w:t>
    </w:r>
    <w:r w:rsidR="00FA0EBD">
      <w:rPr>
        <w:sz w:val="22"/>
        <w:szCs w:val="22"/>
      </w:rPr>
      <w:t>8</w:t>
    </w:r>
    <w:r w:rsidRPr="009F4732">
      <w:rPr>
        <w:sz w:val="22"/>
        <w:szCs w:val="22"/>
      </w:rPr>
      <w:t>, 2021</w:t>
    </w:r>
  </w:p>
  <w:p w:rsidR="008D6BB1" w:rsidRDefault="00381C20">
    <w:pPr>
      <w:pStyle w:val="Header"/>
      <w:ind w:right="360" w:firstLine="360"/>
    </w:pPr>
  </w:p>
  <w:p w:rsidR="008D6BB1" w:rsidRDefault="00381C20">
    <w:pPr>
      <w:pStyle w:val="Header"/>
      <w:ind w:right="360" w:firstLine="360"/>
    </w:pPr>
  </w:p>
  <w:p w:rsidR="008D6BB1" w:rsidRDefault="00381C20">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56"/>
    <w:rsid w:val="000D277A"/>
    <w:rsid w:val="00144CB6"/>
    <w:rsid w:val="00177328"/>
    <w:rsid w:val="001A0234"/>
    <w:rsid w:val="0023001B"/>
    <w:rsid w:val="00244395"/>
    <w:rsid w:val="00362616"/>
    <w:rsid w:val="00381C20"/>
    <w:rsid w:val="003B71D6"/>
    <w:rsid w:val="004028B4"/>
    <w:rsid w:val="004D6192"/>
    <w:rsid w:val="006F1370"/>
    <w:rsid w:val="00705256"/>
    <w:rsid w:val="00707832"/>
    <w:rsid w:val="00791326"/>
    <w:rsid w:val="00915622"/>
    <w:rsid w:val="009F4732"/>
    <w:rsid w:val="00A52C7C"/>
    <w:rsid w:val="00A57A64"/>
    <w:rsid w:val="00BF1460"/>
    <w:rsid w:val="00C8144A"/>
    <w:rsid w:val="00C90C30"/>
    <w:rsid w:val="00CA741F"/>
    <w:rsid w:val="00D42980"/>
    <w:rsid w:val="00DC3C56"/>
    <w:rsid w:val="00DE4143"/>
    <w:rsid w:val="00F159BD"/>
    <w:rsid w:val="00FA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CBCC38"/>
  <w15:chartTrackingRefBased/>
  <w15:docId w15:val="{F1634C0E-6595-461E-883E-380F204A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C56"/>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3C5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3C56"/>
    <w:rPr>
      <w:rFonts w:ascii="Arial" w:eastAsia="Times New Roman" w:hAnsi="Arial" w:cs="Arial"/>
      <w:b/>
      <w:bCs/>
      <w:kern w:val="32"/>
      <w:sz w:val="32"/>
      <w:szCs w:val="32"/>
    </w:rPr>
  </w:style>
  <w:style w:type="paragraph" w:styleId="Header">
    <w:name w:val="header"/>
    <w:basedOn w:val="Normal"/>
    <w:link w:val="HeaderChar"/>
    <w:rsid w:val="00DC3C56"/>
    <w:pPr>
      <w:tabs>
        <w:tab w:val="center" w:pos="4320"/>
        <w:tab w:val="right" w:pos="8640"/>
      </w:tabs>
    </w:pPr>
  </w:style>
  <w:style w:type="character" w:customStyle="1" w:styleId="HeaderChar">
    <w:name w:val="Header Char"/>
    <w:basedOn w:val="DefaultParagraphFont"/>
    <w:link w:val="Header"/>
    <w:rsid w:val="00DC3C56"/>
    <w:rPr>
      <w:rFonts w:ascii="Times New Roman" w:eastAsia="Times New Roman" w:hAnsi="Times New Roman" w:cs="Times New Roman"/>
      <w:sz w:val="24"/>
      <w:szCs w:val="24"/>
    </w:rPr>
  </w:style>
  <w:style w:type="paragraph" w:styleId="Footer">
    <w:name w:val="footer"/>
    <w:basedOn w:val="Normal"/>
    <w:link w:val="FooterChar"/>
    <w:rsid w:val="00DC3C56"/>
    <w:pPr>
      <w:tabs>
        <w:tab w:val="center" w:pos="4320"/>
        <w:tab w:val="right" w:pos="8640"/>
      </w:tabs>
    </w:pPr>
  </w:style>
  <w:style w:type="character" w:customStyle="1" w:styleId="FooterChar">
    <w:name w:val="Footer Char"/>
    <w:basedOn w:val="DefaultParagraphFont"/>
    <w:link w:val="Footer"/>
    <w:rsid w:val="00DC3C56"/>
    <w:rPr>
      <w:rFonts w:ascii="Times New Roman" w:eastAsia="Times New Roman" w:hAnsi="Times New Roman" w:cs="Times New Roman"/>
      <w:sz w:val="24"/>
      <w:szCs w:val="24"/>
    </w:rPr>
  </w:style>
  <w:style w:type="character" w:styleId="PageNumber">
    <w:name w:val="page number"/>
    <w:basedOn w:val="DefaultParagraphFont"/>
    <w:rsid w:val="00DC3C56"/>
  </w:style>
  <w:style w:type="paragraph" w:styleId="NormalWeb">
    <w:name w:val="Normal (Web)"/>
    <w:basedOn w:val="Normal"/>
    <w:rsid w:val="00DC3C56"/>
    <w:pPr>
      <w:spacing w:before="100" w:beforeAutospacing="1" w:after="100" w:afterAutospacing="1"/>
    </w:pPr>
  </w:style>
  <w:style w:type="paragraph" w:styleId="BodyText">
    <w:name w:val="Body Text"/>
    <w:basedOn w:val="Normal"/>
    <w:link w:val="BodyTextChar"/>
    <w:rsid w:val="00DC3C56"/>
    <w:rPr>
      <w:rFonts w:ascii="Arial" w:hAnsi="Arial"/>
      <w:i/>
      <w:iCs/>
    </w:rPr>
  </w:style>
  <w:style w:type="character" w:customStyle="1" w:styleId="BodyTextChar">
    <w:name w:val="Body Text Char"/>
    <w:basedOn w:val="DefaultParagraphFont"/>
    <w:link w:val="BodyText"/>
    <w:rsid w:val="00DC3C56"/>
    <w:rPr>
      <w:rFonts w:ascii="Arial" w:eastAsia="Times New Roman" w:hAnsi="Arial"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56808">
      <w:bodyDiv w:val="1"/>
      <w:marLeft w:val="0"/>
      <w:marRight w:val="0"/>
      <w:marTop w:val="0"/>
      <w:marBottom w:val="0"/>
      <w:divBdr>
        <w:top w:val="none" w:sz="0" w:space="0" w:color="auto"/>
        <w:left w:val="none" w:sz="0" w:space="0" w:color="auto"/>
        <w:bottom w:val="none" w:sz="0" w:space="0" w:color="auto"/>
        <w:right w:val="none" w:sz="0" w:space="0" w:color="auto"/>
      </w:divBdr>
    </w:div>
    <w:div w:id="20128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Wolf, Corie (DHP)</dc:creator>
  <cp:keywords/>
  <dc:description/>
  <cp:lastModifiedBy>VITA Program</cp:lastModifiedBy>
  <cp:revision>2</cp:revision>
  <dcterms:created xsi:type="dcterms:W3CDTF">2021-03-24T15:36:00Z</dcterms:created>
  <dcterms:modified xsi:type="dcterms:W3CDTF">2021-03-24T15:36:00Z</dcterms:modified>
</cp:coreProperties>
</file>