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2D8E" w:rsidRPr="00205ADD" w:rsidRDefault="009D1D5E" w:rsidP="00205ADD">
      <w:pPr>
        <w:jc w:val="center"/>
        <w:rPr>
          <w:rFonts w:ascii="Times New Roman" w:hAnsi="Times New Roman" w:cs="Times New Roman"/>
          <w:b/>
          <w:sz w:val="28"/>
          <w:szCs w:val="28"/>
        </w:rPr>
      </w:pPr>
      <w:r w:rsidRPr="00205ADD">
        <w:rPr>
          <w:rFonts w:ascii="Times New Roman" w:hAnsi="Times New Roman" w:cs="Times New Roman"/>
          <w:b/>
          <w:sz w:val="28"/>
          <w:szCs w:val="28"/>
        </w:rPr>
        <w:t>Virginia Board of Pharmacy</w:t>
      </w:r>
    </w:p>
    <w:p w:rsidR="009D1D5E" w:rsidRPr="00205ADD" w:rsidRDefault="00C43298" w:rsidP="00205ADD">
      <w:pPr>
        <w:jc w:val="center"/>
        <w:rPr>
          <w:rFonts w:ascii="Times New Roman" w:hAnsi="Times New Roman" w:cs="Times New Roman"/>
          <w:b/>
          <w:sz w:val="28"/>
          <w:szCs w:val="28"/>
        </w:rPr>
      </w:pPr>
      <w:r>
        <w:rPr>
          <w:rFonts w:ascii="Times New Roman" w:hAnsi="Times New Roman" w:cs="Times New Roman"/>
          <w:b/>
          <w:sz w:val="28"/>
          <w:szCs w:val="28"/>
        </w:rPr>
        <w:t xml:space="preserve">Verification Sources for a Pharmaceutical Processor </w:t>
      </w:r>
    </w:p>
    <w:p w:rsidR="00205ADD" w:rsidRPr="000A53D5" w:rsidRDefault="00205ADD" w:rsidP="00205ADD">
      <w:pPr>
        <w:jc w:val="both"/>
        <w:rPr>
          <w:rFonts w:ascii="Times New Roman" w:hAnsi="Times New Roman" w:cs="Times New Roman"/>
          <w:sz w:val="24"/>
          <w:szCs w:val="24"/>
          <w:u w:val="single"/>
        </w:rPr>
      </w:pPr>
    </w:p>
    <w:p w:rsidR="00D05373" w:rsidRDefault="00205ADD" w:rsidP="00205ADD">
      <w:pPr>
        <w:jc w:val="both"/>
        <w:rPr>
          <w:rFonts w:ascii="Times New Roman" w:hAnsi="Times New Roman" w:cs="Times New Roman"/>
          <w:sz w:val="24"/>
          <w:szCs w:val="24"/>
        </w:rPr>
      </w:pPr>
      <w:r w:rsidRPr="00C37E74">
        <w:rPr>
          <w:rFonts w:ascii="Times New Roman" w:hAnsi="Times New Roman" w:cs="Times New Roman"/>
          <w:sz w:val="24"/>
          <w:szCs w:val="24"/>
        </w:rPr>
        <w:t xml:space="preserve">To assist </w:t>
      </w:r>
      <w:r w:rsidR="007E7523" w:rsidRPr="00C37E74">
        <w:rPr>
          <w:rFonts w:ascii="Times New Roman" w:hAnsi="Times New Roman" w:cs="Times New Roman"/>
          <w:sz w:val="24"/>
          <w:szCs w:val="24"/>
        </w:rPr>
        <w:t>pharmacist</w:t>
      </w:r>
      <w:r w:rsidRPr="00C37E74">
        <w:rPr>
          <w:rFonts w:ascii="Times New Roman" w:hAnsi="Times New Roman" w:cs="Times New Roman"/>
          <w:sz w:val="24"/>
          <w:szCs w:val="24"/>
        </w:rPr>
        <w:t xml:space="preserve">s and </w:t>
      </w:r>
      <w:r w:rsidR="007E7523" w:rsidRPr="00C37E74">
        <w:rPr>
          <w:rFonts w:ascii="Times New Roman" w:hAnsi="Times New Roman" w:cs="Times New Roman"/>
          <w:sz w:val="24"/>
          <w:szCs w:val="24"/>
        </w:rPr>
        <w:t>pharmacy technician</w:t>
      </w:r>
      <w:r w:rsidRPr="00C37E74">
        <w:rPr>
          <w:rFonts w:ascii="Times New Roman" w:hAnsi="Times New Roman" w:cs="Times New Roman"/>
          <w:sz w:val="24"/>
          <w:szCs w:val="24"/>
        </w:rPr>
        <w:t xml:space="preserve">s practicing at a pharmaceutical processor </w:t>
      </w:r>
      <w:r w:rsidR="007E7523" w:rsidRPr="00C37E74">
        <w:rPr>
          <w:rFonts w:ascii="Times New Roman" w:hAnsi="Times New Roman" w:cs="Times New Roman"/>
          <w:sz w:val="24"/>
          <w:szCs w:val="24"/>
        </w:rPr>
        <w:t>in complying with §54.1-3442.7</w:t>
      </w:r>
      <w:r w:rsidR="006D1052" w:rsidRPr="00C37E74">
        <w:rPr>
          <w:rFonts w:ascii="Times New Roman" w:hAnsi="Times New Roman" w:cs="Times New Roman"/>
          <w:sz w:val="24"/>
          <w:szCs w:val="24"/>
        </w:rPr>
        <w:t xml:space="preserve"> and 18VAC110-60-310</w:t>
      </w:r>
      <w:r w:rsidR="007E7523" w:rsidRPr="00C37E74">
        <w:rPr>
          <w:rFonts w:ascii="Times New Roman" w:hAnsi="Times New Roman" w:cs="Times New Roman"/>
          <w:sz w:val="24"/>
          <w:szCs w:val="24"/>
        </w:rPr>
        <w:t xml:space="preserve"> to verify current board registration of the patient, registered agent, parent, or legal guardian</w:t>
      </w:r>
      <w:r w:rsidRPr="00C37E74">
        <w:rPr>
          <w:rFonts w:ascii="Times New Roman" w:hAnsi="Times New Roman" w:cs="Times New Roman"/>
          <w:sz w:val="24"/>
          <w:szCs w:val="24"/>
        </w:rPr>
        <w:t xml:space="preserve"> obtaining </w:t>
      </w:r>
      <w:r w:rsidR="00097253">
        <w:rPr>
          <w:rFonts w:ascii="Times New Roman" w:hAnsi="Times New Roman" w:cs="Times New Roman"/>
          <w:sz w:val="24"/>
          <w:szCs w:val="24"/>
        </w:rPr>
        <w:t xml:space="preserve">cannabis </w:t>
      </w:r>
      <w:r w:rsidRPr="00C37E74">
        <w:rPr>
          <w:rFonts w:ascii="Times New Roman" w:hAnsi="Times New Roman" w:cs="Times New Roman"/>
          <w:sz w:val="24"/>
          <w:szCs w:val="24"/>
        </w:rPr>
        <w:t xml:space="preserve">oil, the Board of Pharmacy will provide the pharmacist-in-charge (PIC) of each pharmaceutical processor with access to the Virginia Cannabis Patient Registration Lookup (VCPRL).  </w:t>
      </w:r>
    </w:p>
    <w:p w:rsidR="00205ADD" w:rsidRPr="00C37E74" w:rsidRDefault="00205ADD" w:rsidP="00205ADD">
      <w:pPr>
        <w:jc w:val="both"/>
        <w:rPr>
          <w:rFonts w:ascii="Times New Roman" w:hAnsi="Times New Roman" w:cs="Times New Roman"/>
          <w:sz w:val="24"/>
          <w:szCs w:val="24"/>
        </w:rPr>
      </w:pPr>
      <w:r w:rsidRPr="00C37E74">
        <w:rPr>
          <w:rFonts w:ascii="Times New Roman" w:hAnsi="Times New Roman" w:cs="Times New Roman"/>
          <w:sz w:val="24"/>
          <w:szCs w:val="24"/>
        </w:rPr>
        <w:t xml:space="preserve">The registration information contained in the VCPRL </w:t>
      </w:r>
      <w:r w:rsidR="0095252B" w:rsidRPr="00C37E74">
        <w:rPr>
          <w:rFonts w:ascii="Times New Roman" w:hAnsi="Times New Roman" w:cs="Times New Roman"/>
          <w:sz w:val="24"/>
          <w:szCs w:val="24"/>
        </w:rPr>
        <w:t xml:space="preserve">is confidential and </w:t>
      </w:r>
      <w:r w:rsidR="006531B2" w:rsidRPr="00C37E74">
        <w:rPr>
          <w:rFonts w:ascii="Times New Roman" w:hAnsi="Times New Roman" w:cs="Times New Roman"/>
          <w:sz w:val="24"/>
          <w:szCs w:val="24"/>
        </w:rPr>
        <w:t>includes</w:t>
      </w:r>
      <w:r w:rsidR="0095252B" w:rsidRPr="00C37E74">
        <w:rPr>
          <w:rFonts w:ascii="Times New Roman" w:hAnsi="Times New Roman" w:cs="Times New Roman"/>
          <w:sz w:val="24"/>
          <w:szCs w:val="24"/>
        </w:rPr>
        <w:t xml:space="preserve"> the following information</w:t>
      </w:r>
      <w:r w:rsidR="006531B2" w:rsidRPr="00C37E74">
        <w:rPr>
          <w:rFonts w:ascii="Times New Roman" w:hAnsi="Times New Roman" w:cs="Times New Roman"/>
          <w:sz w:val="24"/>
          <w:szCs w:val="24"/>
        </w:rPr>
        <w:t xml:space="preserve">: </w:t>
      </w:r>
      <w:r w:rsidR="0095252B" w:rsidRPr="00C37E74">
        <w:rPr>
          <w:rFonts w:ascii="Times New Roman" w:hAnsi="Times New Roman" w:cs="Times New Roman"/>
          <w:sz w:val="24"/>
          <w:szCs w:val="24"/>
        </w:rPr>
        <w:t xml:space="preserve"> </w:t>
      </w:r>
      <w:r w:rsidR="006531B2" w:rsidRPr="00C37E74">
        <w:rPr>
          <w:rFonts w:ascii="Times New Roman" w:hAnsi="Times New Roman" w:cs="Times New Roman"/>
          <w:sz w:val="24"/>
          <w:szCs w:val="24"/>
        </w:rPr>
        <w:t>name of patient; name of registered agent, parent, or legal guardian, as applicable; registration number; and expiration date of registration.</w:t>
      </w:r>
      <w:r w:rsidR="0095252B" w:rsidRPr="00C37E74">
        <w:rPr>
          <w:rFonts w:ascii="Times New Roman" w:hAnsi="Times New Roman" w:cs="Times New Roman"/>
          <w:sz w:val="24"/>
          <w:szCs w:val="24"/>
        </w:rPr>
        <w:t xml:space="preserve">  T</w:t>
      </w:r>
      <w:r w:rsidRPr="00C37E74">
        <w:rPr>
          <w:rFonts w:ascii="Times New Roman" w:hAnsi="Times New Roman" w:cs="Times New Roman"/>
          <w:sz w:val="24"/>
          <w:szCs w:val="24"/>
        </w:rPr>
        <w:t>he P</w:t>
      </w:r>
      <w:r w:rsidR="0007691B" w:rsidRPr="00C37E74">
        <w:rPr>
          <w:rFonts w:ascii="Times New Roman" w:hAnsi="Times New Roman" w:cs="Times New Roman"/>
          <w:sz w:val="24"/>
          <w:szCs w:val="24"/>
        </w:rPr>
        <w:t xml:space="preserve">IC is responsible for granting, monitoring, maintaining, and denying access to the </w:t>
      </w:r>
      <w:r w:rsidRPr="00C37E74">
        <w:rPr>
          <w:rFonts w:ascii="Times New Roman" w:hAnsi="Times New Roman" w:cs="Times New Roman"/>
          <w:sz w:val="24"/>
          <w:szCs w:val="24"/>
        </w:rPr>
        <w:t>VCPRL</w:t>
      </w:r>
      <w:r w:rsidR="0007691B" w:rsidRPr="00C37E74">
        <w:rPr>
          <w:rFonts w:ascii="Times New Roman" w:hAnsi="Times New Roman" w:cs="Times New Roman"/>
          <w:sz w:val="24"/>
          <w:szCs w:val="24"/>
        </w:rPr>
        <w:t xml:space="preserve"> for all pharmacist and pharmacy technician staff that have</w:t>
      </w:r>
      <w:r w:rsidR="00ED0BA0" w:rsidRPr="00C37E74">
        <w:rPr>
          <w:rFonts w:ascii="Times New Roman" w:hAnsi="Times New Roman" w:cs="Times New Roman"/>
          <w:sz w:val="24"/>
          <w:szCs w:val="24"/>
        </w:rPr>
        <w:t>,</w:t>
      </w:r>
      <w:r w:rsidR="0007691B" w:rsidRPr="00C37E74">
        <w:rPr>
          <w:rFonts w:ascii="Times New Roman" w:hAnsi="Times New Roman" w:cs="Times New Roman"/>
          <w:sz w:val="24"/>
          <w:szCs w:val="24"/>
        </w:rPr>
        <w:t xml:space="preserve"> as part of their job</w:t>
      </w:r>
      <w:r w:rsidR="00ED0BA0" w:rsidRPr="00C37E74">
        <w:rPr>
          <w:rFonts w:ascii="Times New Roman" w:hAnsi="Times New Roman" w:cs="Times New Roman"/>
          <w:sz w:val="24"/>
          <w:szCs w:val="24"/>
        </w:rPr>
        <w:t>,</w:t>
      </w:r>
      <w:r w:rsidR="0007691B" w:rsidRPr="00C37E74">
        <w:rPr>
          <w:rFonts w:ascii="Times New Roman" w:hAnsi="Times New Roman" w:cs="Times New Roman"/>
          <w:sz w:val="24"/>
          <w:szCs w:val="24"/>
        </w:rPr>
        <w:t xml:space="preserve"> </w:t>
      </w:r>
      <w:r w:rsidR="00ED0BA0" w:rsidRPr="00C37E74">
        <w:rPr>
          <w:rFonts w:ascii="Times New Roman" w:hAnsi="Times New Roman" w:cs="Times New Roman"/>
          <w:sz w:val="24"/>
          <w:szCs w:val="24"/>
        </w:rPr>
        <w:t xml:space="preserve">the </w:t>
      </w:r>
      <w:r w:rsidR="0007691B" w:rsidRPr="00C37E74">
        <w:rPr>
          <w:rFonts w:ascii="Times New Roman" w:hAnsi="Times New Roman" w:cs="Times New Roman"/>
          <w:sz w:val="24"/>
          <w:szCs w:val="24"/>
        </w:rPr>
        <w:t>responsibilit</w:t>
      </w:r>
      <w:r w:rsidR="00ED0BA0" w:rsidRPr="00C37E74">
        <w:rPr>
          <w:rFonts w:ascii="Times New Roman" w:hAnsi="Times New Roman" w:cs="Times New Roman"/>
          <w:sz w:val="24"/>
          <w:szCs w:val="24"/>
        </w:rPr>
        <w:t>y</w:t>
      </w:r>
      <w:r w:rsidR="0007691B" w:rsidRPr="00C37E74">
        <w:rPr>
          <w:rFonts w:ascii="Times New Roman" w:hAnsi="Times New Roman" w:cs="Times New Roman"/>
          <w:sz w:val="24"/>
          <w:szCs w:val="24"/>
        </w:rPr>
        <w:t xml:space="preserve"> to verify that a patient, parent, legal guardian or registered agent </w:t>
      </w:r>
      <w:r w:rsidR="00ED0BA0" w:rsidRPr="00C37E74">
        <w:rPr>
          <w:rFonts w:ascii="Times New Roman" w:hAnsi="Times New Roman" w:cs="Times New Roman"/>
          <w:sz w:val="24"/>
          <w:szCs w:val="24"/>
        </w:rPr>
        <w:t>is</w:t>
      </w:r>
      <w:r w:rsidR="0007691B" w:rsidRPr="00C37E74">
        <w:rPr>
          <w:rFonts w:ascii="Times New Roman" w:hAnsi="Times New Roman" w:cs="Times New Roman"/>
          <w:sz w:val="24"/>
          <w:szCs w:val="24"/>
        </w:rPr>
        <w:t xml:space="preserve"> currently registered with </w:t>
      </w:r>
      <w:r w:rsidRPr="00C37E74">
        <w:rPr>
          <w:rFonts w:ascii="Times New Roman" w:hAnsi="Times New Roman" w:cs="Times New Roman"/>
          <w:sz w:val="24"/>
          <w:szCs w:val="24"/>
        </w:rPr>
        <w:t>the Board of Pharmacy.</w:t>
      </w:r>
    </w:p>
    <w:p w:rsidR="0007691B" w:rsidRPr="00C37E74" w:rsidRDefault="006531B2" w:rsidP="00205ADD">
      <w:pPr>
        <w:jc w:val="both"/>
        <w:rPr>
          <w:rFonts w:ascii="Times New Roman" w:hAnsi="Times New Roman" w:cs="Times New Roman"/>
          <w:sz w:val="24"/>
          <w:szCs w:val="24"/>
        </w:rPr>
      </w:pPr>
      <w:r w:rsidRPr="00C37E74">
        <w:rPr>
          <w:rFonts w:ascii="Times New Roman" w:hAnsi="Times New Roman" w:cs="Times New Roman"/>
          <w:sz w:val="24"/>
          <w:szCs w:val="24"/>
        </w:rPr>
        <w:t>As instructed in the VCPRL, t</w:t>
      </w:r>
      <w:r w:rsidR="00ED0BA0" w:rsidRPr="00C37E74">
        <w:rPr>
          <w:rFonts w:ascii="Times New Roman" w:hAnsi="Times New Roman" w:cs="Times New Roman"/>
          <w:sz w:val="24"/>
          <w:szCs w:val="24"/>
        </w:rPr>
        <w:t xml:space="preserve">he PIC </w:t>
      </w:r>
      <w:r w:rsidRPr="00C37E74">
        <w:rPr>
          <w:rFonts w:ascii="Times New Roman" w:hAnsi="Times New Roman" w:cs="Times New Roman"/>
          <w:sz w:val="24"/>
          <w:szCs w:val="24"/>
        </w:rPr>
        <w:t>must</w:t>
      </w:r>
      <w:r w:rsidR="00ED0BA0" w:rsidRPr="00C37E74">
        <w:rPr>
          <w:rFonts w:ascii="Times New Roman" w:hAnsi="Times New Roman" w:cs="Times New Roman"/>
          <w:sz w:val="24"/>
          <w:szCs w:val="24"/>
        </w:rPr>
        <w:t xml:space="preserve"> provide information to the </w:t>
      </w:r>
      <w:r w:rsidR="0007691B" w:rsidRPr="00C37E74">
        <w:rPr>
          <w:rFonts w:ascii="Times New Roman" w:hAnsi="Times New Roman" w:cs="Times New Roman"/>
          <w:sz w:val="24"/>
          <w:szCs w:val="24"/>
        </w:rPr>
        <w:t xml:space="preserve">pharmacist or pharmacy </w:t>
      </w:r>
      <w:r w:rsidR="002C008B" w:rsidRPr="00C37E74">
        <w:rPr>
          <w:rFonts w:ascii="Times New Roman" w:hAnsi="Times New Roman" w:cs="Times New Roman"/>
          <w:sz w:val="24"/>
          <w:szCs w:val="24"/>
        </w:rPr>
        <w:t xml:space="preserve">technician to complete his </w:t>
      </w:r>
      <w:r w:rsidR="00ED0BA0" w:rsidRPr="00C37E74">
        <w:rPr>
          <w:rFonts w:ascii="Times New Roman" w:hAnsi="Times New Roman" w:cs="Times New Roman"/>
          <w:sz w:val="24"/>
          <w:szCs w:val="24"/>
        </w:rPr>
        <w:t xml:space="preserve">own </w:t>
      </w:r>
      <w:r w:rsidR="0007691B" w:rsidRPr="00C37E74">
        <w:rPr>
          <w:rFonts w:ascii="Times New Roman" w:hAnsi="Times New Roman" w:cs="Times New Roman"/>
          <w:sz w:val="24"/>
          <w:szCs w:val="24"/>
        </w:rPr>
        <w:t>re</w:t>
      </w:r>
      <w:r w:rsidRPr="00C37E74">
        <w:rPr>
          <w:rFonts w:ascii="Times New Roman" w:hAnsi="Times New Roman" w:cs="Times New Roman"/>
          <w:sz w:val="24"/>
          <w:szCs w:val="24"/>
        </w:rPr>
        <w:t xml:space="preserve">quest </w:t>
      </w:r>
      <w:r w:rsidR="0007691B" w:rsidRPr="00C37E74">
        <w:rPr>
          <w:rFonts w:ascii="Times New Roman" w:hAnsi="Times New Roman" w:cs="Times New Roman"/>
          <w:sz w:val="24"/>
          <w:szCs w:val="24"/>
        </w:rPr>
        <w:t xml:space="preserve">for access to the Lookup system.  </w:t>
      </w:r>
      <w:r w:rsidR="00ED0BA0" w:rsidRPr="00C37E74">
        <w:rPr>
          <w:rFonts w:ascii="Times New Roman" w:hAnsi="Times New Roman" w:cs="Times New Roman"/>
          <w:sz w:val="24"/>
          <w:szCs w:val="24"/>
        </w:rPr>
        <w:t xml:space="preserve">Once </w:t>
      </w:r>
      <w:r w:rsidRPr="00C37E74">
        <w:rPr>
          <w:rFonts w:ascii="Times New Roman" w:hAnsi="Times New Roman" w:cs="Times New Roman"/>
          <w:sz w:val="24"/>
          <w:szCs w:val="24"/>
        </w:rPr>
        <w:t xml:space="preserve">the request has been submitted, </w:t>
      </w:r>
      <w:r w:rsidR="00ED0BA0" w:rsidRPr="00C37E74">
        <w:rPr>
          <w:rFonts w:ascii="Times New Roman" w:hAnsi="Times New Roman" w:cs="Times New Roman"/>
          <w:sz w:val="24"/>
          <w:szCs w:val="24"/>
        </w:rPr>
        <w:t>a</w:t>
      </w:r>
      <w:r w:rsidR="0007691B" w:rsidRPr="00C37E74">
        <w:rPr>
          <w:rFonts w:ascii="Times New Roman" w:hAnsi="Times New Roman" w:cs="Times New Roman"/>
          <w:sz w:val="24"/>
          <w:szCs w:val="24"/>
        </w:rPr>
        <w:t xml:space="preserve">n email will be sent to the PIC </w:t>
      </w:r>
      <w:r w:rsidRPr="00C37E74">
        <w:rPr>
          <w:rFonts w:ascii="Times New Roman" w:hAnsi="Times New Roman" w:cs="Times New Roman"/>
          <w:sz w:val="24"/>
          <w:szCs w:val="24"/>
        </w:rPr>
        <w:t xml:space="preserve">for granting </w:t>
      </w:r>
      <w:r w:rsidR="0007691B" w:rsidRPr="00C37E74">
        <w:rPr>
          <w:rFonts w:ascii="Times New Roman" w:hAnsi="Times New Roman" w:cs="Times New Roman"/>
          <w:sz w:val="24"/>
          <w:szCs w:val="24"/>
        </w:rPr>
        <w:t>access</w:t>
      </w:r>
      <w:r w:rsidRPr="00C37E74">
        <w:rPr>
          <w:rFonts w:ascii="Times New Roman" w:hAnsi="Times New Roman" w:cs="Times New Roman"/>
          <w:sz w:val="24"/>
          <w:szCs w:val="24"/>
        </w:rPr>
        <w:t xml:space="preserve"> to the pharmacist or pharmacy technician</w:t>
      </w:r>
      <w:r w:rsidR="002C008B" w:rsidRPr="00C37E74">
        <w:rPr>
          <w:rFonts w:ascii="Times New Roman" w:hAnsi="Times New Roman" w:cs="Times New Roman"/>
          <w:sz w:val="24"/>
          <w:szCs w:val="24"/>
        </w:rPr>
        <w:t>.</w:t>
      </w:r>
      <w:r w:rsidR="0007691B" w:rsidRPr="00C37E74">
        <w:rPr>
          <w:rFonts w:ascii="Times New Roman" w:hAnsi="Times New Roman" w:cs="Times New Roman"/>
          <w:sz w:val="24"/>
          <w:szCs w:val="24"/>
        </w:rPr>
        <w:t xml:space="preserve">  The PIC should verify the necessity of the employee to have access to the </w:t>
      </w:r>
      <w:r w:rsidRPr="00C37E74">
        <w:rPr>
          <w:rFonts w:ascii="Times New Roman" w:hAnsi="Times New Roman" w:cs="Times New Roman"/>
          <w:sz w:val="24"/>
          <w:szCs w:val="24"/>
        </w:rPr>
        <w:t xml:space="preserve">VCPRL prior to approving the request.  </w:t>
      </w:r>
      <w:r w:rsidR="00ED0BA0" w:rsidRPr="00C37E74">
        <w:rPr>
          <w:rFonts w:ascii="Times New Roman" w:hAnsi="Times New Roman" w:cs="Times New Roman"/>
          <w:sz w:val="24"/>
          <w:szCs w:val="24"/>
        </w:rPr>
        <w:t xml:space="preserve">The </w:t>
      </w:r>
      <w:r w:rsidRPr="00C37E74">
        <w:rPr>
          <w:rFonts w:ascii="Times New Roman" w:hAnsi="Times New Roman" w:cs="Times New Roman"/>
          <w:sz w:val="24"/>
          <w:szCs w:val="24"/>
        </w:rPr>
        <w:t xml:space="preserve">approved pharmacist or pharmacy technician </w:t>
      </w:r>
      <w:r w:rsidR="00ED0BA0" w:rsidRPr="00C37E74">
        <w:rPr>
          <w:rFonts w:ascii="Times New Roman" w:hAnsi="Times New Roman" w:cs="Times New Roman"/>
          <w:sz w:val="24"/>
          <w:szCs w:val="24"/>
        </w:rPr>
        <w:t xml:space="preserve">will receive an email </w:t>
      </w:r>
      <w:r w:rsidR="002C008B" w:rsidRPr="00C37E74">
        <w:rPr>
          <w:rFonts w:ascii="Times New Roman" w:hAnsi="Times New Roman" w:cs="Times New Roman"/>
          <w:sz w:val="24"/>
          <w:szCs w:val="24"/>
        </w:rPr>
        <w:t>alerting</w:t>
      </w:r>
      <w:r w:rsidR="00ED0BA0" w:rsidRPr="00C37E74">
        <w:rPr>
          <w:rFonts w:ascii="Times New Roman" w:hAnsi="Times New Roman" w:cs="Times New Roman"/>
          <w:sz w:val="24"/>
          <w:szCs w:val="24"/>
        </w:rPr>
        <w:t xml:space="preserve"> them that their access request has been granted.  </w:t>
      </w:r>
      <w:r w:rsidR="0095252B" w:rsidRPr="00C37E74">
        <w:rPr>
          <w:rFonts w:ascii="Times New Roman" w:hAnsi="Times New Roman" w:cs="Times New Roman"/>
          <w:sz w:val="24"/>
          <w:szCs w:val="24"/>
        </w:rPr>
        <w:t>T</w:t>
      </w:r>
      <w:r w:rsidR="002C008B" w:rsidRPr="00C37E74">
        <w:rPr>
          <w:rFonts w:ascii="Times New Roman" w:hAnsi="Times New Roman" w:cs="Times New Roman"/>
          <w:sz w:val="24"/>
          <w:szCs w:val="24"/>
        </w:rPr>
        <w:t xml:space="preserve">he PIC should regularly audit the list of employees with access to the </w:t>
      </w:r>
      <w:r w:rsidRPr="00C37E74">
        <w:rPr>
          <w:rFonts w:ascii="Times New Roman" w:hAnsi="Times New Roman" w:cs="Times New Roman"/>
          <w:sz w:val="24"/>
          <w:szCs w:val="24"/>
        </w:rPr>
        <w:t>VCPRL to ensure it remains accurate.</w:t>
      </w:r>
      <w:r w:rsidR="00C43298" w:rsidRPr="00C37E74">
        <w:rPr>
          <w:rFonts w:ascii="Times New Roman" w:hAnsi="Times New Roman" w:cs="Times New Roman"/>
          <w:sz w:val="24"/>
          <w:szCs w:val="24"/>
        </w:rPr>
        <w:t xml:space="preserve">  </w:t>
      </w:r>
      <w:r w:rsidR="0007691B" w:rsidRPr="00C37E74">
        <w:rPr>
          <w:rFonts w:ascii="Times New Roman" w:hAnsi="Times New Roman" w:cs="Times New Roman"/>
          <w:sz w:val="24"/>
          <w:szCs w:val="24"/>
        </w:rPr>
        <w:t xml:space="preserve">Upon termination of employment of a pharmacist or pharmacy technician, </w:t>
      </w:r>
      <w:r w:rsidR="00ED0BA0" w:rsidRPr="00C37E74">
        <w:rPr>
          <w:rFonts w:ascii="Times New Roman" w:hAnsi="Times New Roman" w:cs="Times New Roman"/>
          <w:sz w:val="24"/>
          <w:szCs w:val="24"/>
        </w:rPr>
        <w:t>or a change in employment responsibilities that does not warrant access</w:t>
      </w:r>
      <w:r w:rsidR="0095252B" w:rsidRPr="00C37E74">
        <w:rPr>
          <w:rFonts w:ascii="Times New Roman" w:hAnsi="Times New Roman" w:cs="Times New Roman"/>
          <w:sz w:val="24"/>
          <w:szCs w:val="24"/>
        </w:rPr>
        <w:t xml:space="preserve"> to the VCPRL</w:t>
      </w:r>
      <w:r w:rsidR="00ED0BA0" w:rsidRPr="00C37E74">
        <w:rPr>
          <w:rFonts w:ascii="Times New Roman" w:hAnsi="Times New Roman" w:cs="Times New Roman"/>
          <w:sz w:val="24"/>
          <w:szCs w:val="24"/>
        </w:rPr>
        <w:t xml:space="preserve">, </w:t>
      </w:r>
      <w:r w:rsidR="0007691B" w:rsidRPr="00C37E74">
        <w:rPr>
          <w:rFonts w:ascii="Times New Roman" w:hAnsi="Times New Roman" w:cs="Times New Roman"/>
          <w:sz w:val="24"/>
          <w:szCs w:val="24"/>
        </w:rPr>
        <w:t xml:space="preserve">the PIC should immediately terminate </w:t>
      </w:r>
      <w:r w:rsidR="00565312" w:rsidRPr="00C37E74">
        <w:rPr>
          <w:rFonts w:ascii="Times New Roman" w:hAnsi="Times New Roman" w:cs="Times New Roman"/>
          <w:sz w:val="24"/>
          <w:szCs w:val="24"/>
        </w:rPr>
        <w:t xml:space="preserve">the employee’s access to the </w:t>
      </w:r>
      <w:r w:rsidR="0095252B" w:rsidRPr="00C37E74">
        <w:rPr>
          <w:rFonts w:ascii="Times New Roman" w:hAnsi="Times New Roman" w:cs="Times New Roman"/>
          <w:sz w:val="24"/>
          <w:szCs w:val="24"/>
        </w:rPr>
        <w:t>VCPRL.</w:t>
      </w:r>
    </w:p>
    <w:p w:rsidR="00C43298" w:rsidRPr="00C37E74" w:rsidRDefault="0095252B" w:rsidP="00205ADD">
      <w:pPr>
        <w:jc w:val="both"/>
        <w:rPr>
          <w:rFonts w:ascii="Times New Roman" w:hAnsi="Times New Roman" w:cs="Times New Roman"/>
          <w:sz w:val="24"/>
          <w:szCs w:val="24"/>
        </w:rPr>
      </w:pPr>
      <w:r w:rsidRPr="00C37E74">
        <w:rPr>
          <w:rFonts w:ascii="Times New Roman" w:hAnsi="Times New Roman" w:cs="Times New Roman"/>
          <w:sz w:val="24"/>
          <w:szCs w:val="24"/>
        </w:rPr>
        <w:t xml:space="preserve">Verification of a practitioner’s registration or a pharmaceutical processor permit may be </w:t>
      </w:r>
      <w:r w:rsidR="000A53D5" w:rsidRPr="00C37E74">
        <w:rPr>
          <w:rFonts w:ascii="Times New Roman" w:hAnsi="Times New Roman" w:cs="Times New Roman"/>
          <w:sz w:val="24"/>
          <w:szCs w:val="24"/>
        </w:rPr>
        <w:t xml:space="preserve">completed </w:t>
      </w:r>
      <w:r w:rsidRPr="00C37E74">
        <w:rPr>
          <w:rFonts w:ascii="Times New Roman" w:hAnsi="Times New Roman" w:cs="Times New Roman"/>
          <w:sz w:val="24"/>
          <w:szCs w:val="24"/>
        </w:rPr>
        <w:t xml:space="preserve">through the Department of Health Professions’ online License Lookup feature at </w:t>
      </w:r>
      <w:hyperlink r:id="rId6" w:history="1">
        <w:r w:rsidRPr="00C37E74">
          <w:rPr>
            <w:rStyle w:val="Hyperlink"/>
            <w:rFonts w:ascii="Times New Roman" w:hAnsi="Times New Roman" w:cs="Times New Roman"/>
            <w:sz w:val="24"/>
            <w:szCs w:val="24"/>
            <w:u w:val="none"/>
          </w:rPr>
          <w:t>www.dhp.virginia.gov</w:t>
        </w:r>
      </w:hyperlink>
      <w:r w:rsidRPr="00C37E74">
        <w:rPr>
          <w:rFonts w:ascii="Times New Roman" w:hAnsi="Times New Roman" w:cs="Times New Roman"/>
          <w:sz w:val="24"/>
          <w:szCs w:val="24"/>
        </w:rPr>
        <w:t xml:space="preserve"> as this registration</w:t>
      </w:r>
      <w:r w:rsidR="000A53D5" w:rsidRPr="00C37E74">
        <w:rPr>
          <w:rFonts w:ascii="Times New Roman" w:hAnsi="Times New Roman" w:cs="Times New Roman"/>
          <w:sz w:val="24"/>
          <w:szCs w:val="24"/>
        </w:rPr>
        <w:t xml:space="preserve"> and permit</w:t>
      </w:r>
      <w:r w:rsidRPr="00C37E74">
        <w:rPr>
          <w:rFonts w:ascii="Times New Roman" w:hAnsi="Times New Roman" w:cs="Times New Roman"/>
          <w:sz w:val="24"/>
          <w:szCs w:val="24"/>
        </w:rPr>
        <w:t xml:space="preserve"> information is </w:t>
      </w:r>
      <w:r w:rsidR="000A53D5" w:rsidRPr="00C37E74">
        <w:rPr>
          <w:rFonts w:ascii="Times New Roman" w:hAnsi="Times New Roman" w:cs="Times New Roman"/>
          <w:sz w:val="24"/>
          <w:szCs w:val="24"/>
        </w:rPr>
        <w:t xml:space="preserve">considered </w:t>
      </w:r>
      <w:r w:rsidRPr="00C37E74">
        <w:rPr>
          <w:rFonts w:ascii="Times New Roman" w:hAnsi="Times New Roman" w:cs="Times New Roman"/>
          <w:sz w:val="24"/>
          <w:szCs w:val="24"/>
        </w:rPr>
        <w:t xml:space="preserve">public information. </w:t>
      </w:r>
    </w:p>
    <w:p w:rsidR="009D1D5E" w:rsidRPr="00C37E74" w:rsidRDefault="006F563E" w:rsidP="00205ADD">
      <w:pPr>
        <w:jc w:val="both"/>
        <w:rPr>
          <w:rFonts w:ascii="Times New Roman" w:hAnsi="Times New Roman" w:cs="Times New Roman"/>
          <w:sz w:val="24"/>
          <w:szCs w:val="24"/>
        </w:rPr>
      </w:pPr>
      <w:r w:rsidRPr="00C37E74">
        <w:rPr>
          <w:rFonts w:ascii="Times New Roman" w:hAnsi="Times New Roman" w:cs="Times New Roman"/>
          <w:sz w:val="24"/>
          <w:szCs w:val="24"/>
        </w:rPr>
        <w:t xml:space="preserve"> To assist in ensuring no pharmaceutical processor dispenses more than a 90-day supply for any patient during any 90-day period, the pharmacist or pharmacy technician, who is an authorized delegate of the pharmacist, should verify the quantity and last dates of dispensing of </w:t>
      </w:r>
      <w:r w:rsidR="00097253">
        <w:rPr>
          <w:rFonts w:ascii="Times New Roman" w:hAnsi="Times New Roman" w:cs="Times New Roman"/>
          <w:sz w:val="24"/>
          <w:szCs w:val="24"/>
        </w:rPr>
        <w:t xml:space="preserve">cannabis </w:t>
      </w:r>
      <w:r w:rsidRPr="00C37E74">
        <w:rPr>
          <w:rFonts w:ascii="Times New Roman" w:hAnsi="Times New Roman" w:cs="Times New Roman"/>
          <w:sz w:val="24"/>
          <w:szCs w:val="24"/>
        </w:rPr>
        <w:t>oil by accessing the Prescription Monitoring Program.</w:t>
      </w:r>
    </w:p>
    <w:p w:rsidR="00097253" w:rsidRDefault="00097253" w:rsidP="00097253">
      <w:pPr>
        <w:pStyle w:val="Heading2"/>
        <w:rPr>
          <w:i/>
        </w:rPr>
      </w:pPr>
      <w:bookmarkStart w:id="0" w:name="_Toc12864501"/>
      <w:bookmarkStart w:id="1" w:name="_Toc12957696"/>
      <w:r>
        <w:rPr>
          <w:i/>
        </w:rPr>
        <w:t>Code of Virginia as of July 1, 2020:</w:t>
      </w:r>
      <w:bookmarkEnd w:id="0"/>
      <w:bookmarkEnd w:id="1"/>
    </w:p>
    <w:p w:rsidR="00097253" w:rsidRPr="00097253" w:rsidRDefault="00097253" w:rsidP="00097253">
      <w:pPr>
        <w:pStyle w:val="NormalWeb"/>
        <w:shd w:val="clear" w:color="auto" w:fill="FFFFFF"/>
        <w:rPr>
          <w:i/>
          <w:color w:val="333333"/>
          <w:sz w:val="22"/>
          <w:szCs w:val="22"/>
        </w:rPr>
      </w:pPr>
      <w:r w:rsidRPr="00097253">
        <w:rPr>
          <w:i/>
          <w:color w:val="333333"/>
          <w:sz w:val="22"/>
          <w:szCs w:val="22"/>
        </w:rPr>
        <w:t xml:space="preserve">§ </w:t>
      </w:r>
      <w:hyperlink r:id="rId7" w:history="1">
        <w:r w:rsidRPr="00097253">
          <w:rPr>
            <w:rStyle w:val="Hyperlink"/>
            <w:i/>
            <w:sz w:val="22"/>
            <w:szCs w:val="22"/>
          </w:rPr>
          <w:t>54.1-3442.7</w:t>
        </w:r>
      </w:hyperlink>
      <w:r w:rsidRPr="00097253">
        <w:rPr>
          <w:i/>
          <w:color w:val="333333"/>
          <w:sz w:val="22"/>
          <w:szCs w:val="22"/>
        </w:rPr>
        <w:t>. Dispensing cannabis oil; report.</w:t>
      </w:r>
    </w:p>
    <w:p w:rsidR="00097253" w:rsidRPr="00097253" w:rsidRDefault="00097253" w:rsidP="00097253">
      <w:pPr>
        <w:pStyle w:val="NormalWeb"/>
        <w:shd w:val="clear" w:color="auto" w:fill="FFFFFF"/>
        <w:rPr>
          <w:i/>
          <w:color w:val="333333"/>
          <w:sz w:val="22"/>
          <w:szCs w:val="22"/>
        </w:rPr>
      </w:pPr>
      <w:r w:rsidRPr="00097253">
        <w:rPr>
          <w:i/>
          <w:color w:val="333333"/>
          <w:sz w:val="22"/>
          <w:szCs w:val="22"/>
        </w:rPr>
        <w:t>A. A pharmaceutical processor</w:t>
      </w:r>
      <w:r w:rsidRPr="00097253">
        <w:rPr>
          <w:i/>
          <w:iCs/>
          <w:color w:val="333333"/>
          <w:sz w:val="22"/>
          <w:szCs w:val="22"/>
        </w:rPr>
        <w:t xml:space="preserve"> or cannabis dispensing facility</w:t>
      </w:r>
      <w:r w:rsidRPr="00097253">
        <w:rPr>
          <w:i/>
          <w:color w:val="333333"/>
          <w:sz w:val="22"/>
          <w:szCs w:val="22"/>
        </w:rPr>
        <w:t xml:space="preserve"> shall dispense or deliver </w:t>
      </w:r>
      <w:r w:rsidRPr="00097253">
        <w:rPr>
          <w:i/>
          <w:iCs/>
          <w:color w:val="333333"/>
          <w:sz w:val="22"/>
          <w:szCs w:val="22"/>
        </w:rPr>
        <w:t>cannabis</w:t>
      </w:r>
      <w:r w:rsidRPr="00097253">
        <w:rPr>
          <w:i/>
          <w:color w:val="333333"/>
          <w:sz w:val="22"/>
          <w:szCs w:val="22"/>
        </w:rPr>
        <w:t xml:space="preserve"> oil only in person to (</w:t>
      </w:r>
      <w:proofErr w:type="spellStart"/>
      <w:r w:rsidRPr="00097253">
        <w:rPr>
          <w:i/>
          <w:color w:val="333333"/>
          <w:sz w:val="22"/>
          <w:szCs w:val="22"/>
        </w:rPr>
        <w:t>i</w:t>
      </w:r>
      <w:proofErr w:type="spellEnd"/>
      <w:r w:rsidRPr="00097253">
        <w:rPr>
          <w:i/>
          <w:color w:val="333333"/>
          <w:sz w:val="22"/>
          <w:szCs w:val="22"/>
        </w:rPr>
        <w:t>) a patient who is a Virginia resident</w:t>
      </w:r>
      <w:r w:rsidRPr="00097253">
        <w:rPr>
          <w:i/>
          <w:iCs/>
          <w:color w:val="333333"/>
          <w:sz w:val="22"/>
          <w:szCs w:val="22"/>
        </w:rPr>
        <w:t xml:space="preserve"> or temporarily resides in Virginia as made evident to the Board</w:t>
      </w:r>
      <w:r w:rsidRPr="00097253">
        <w:rPr>
          <w:i/>
          <w:color w:val="333333"/>
          <w:sz w:val="22"/>
          <w:szCs w:val="22"/>
        </w:rPr>
        <w:t xml:space="preserve">, has been issued a valid written certification, and is registered with the Board pursuant to § </w:t>
      </w:r>
      <w:hyperlink r:id="rId8" w:history="1">
        <w:r w:rsidRPr="00097253">
          <w:rPr>
            <w:rStyle w:val="Hyperlink"/>
            <w:i/>
            <w:sz w:val="22"/>
            <w:szCs w:val="22"/>
          </w:rPr>
          <w:t>54.1-3408.3</w:t>
        </w:r>
      </w:hyperlink>
      <w:r w:rsidRPr="00097253">
        <w:rPr>
          <w:i/>
          <w:color w:val="333333"/>
          <w:sz w:val="22"/>
          <w:szCs w:val="22"/>
        </w:rPr>
        <w:t xml:space="preserve">, (ii) such patient's registered agent, or (iii) if such patient is a minor or an incapacitated adult as defined in § </w:t>
      </w:r>
      <w:hyperlink r:id="rId9" w:history="1">
        <w:r w:rsidRPr="00097253">
          <w:rPr>
            <w:rStyle w:val="Hyperlink"/>
            <w:i/>
            <w:sz w:val="22"/>
            <w:szCs w:val="22"/>
          </w:rPr>
          <w:t>18.2-369</w:t>
        </w:r>
      </w:hyperlink>
      <w:r w:rsidRPr="00097253">
        <w:rPr>
          <w:i/>
          <w:color w:val="333333"/>
          <w:sz w:val="22"/>
          <w:szCs w:val="22"/>
        </w:rPr>
        <w:t>, such patient's parent or legal guardian who is a Virginia resident</w:t>
      </w:r>
      <w:r w:rsidRPr="00097253">
        <w:rPr>
          <w:i/>
          <w:iCs/>
          <w:color w:val="333333"/>
          <w:sz w:val="22"/>
          <w:szCs w:val="22"/>
        </w:rPr>
        <w:t xml:space="preserve"> or temporarily resides in Virginia as made evident to the Board</w:t>
      </w:r>
      <w:r w:rsidRPr="00097253">
        <w:rPr>
          <w:i/>
          <w:color w:val="333333"/>
          <w:sz w:val="22"/>
          <w:szCs w:val="22"/>
        </w:rPr>
        <w:t xml:space="preserve"> and is registered with the Board pursuant to § </w:t>
      </w:r>
      <w:hyperlink r:id="rId10" w:history="1">
        <w:r w:rsidRPr="00097253">
          <w:rPr>
            <w:rStyle w:val="Hyperlink"/>
            <w:i/>
            <w:sz w:val="22"/>
            <w:szCs w:val="22"/>
          </w:rPr>
          <w:t>54.1-3408.3</w:t>
        </w:r>
      </w:hyperlink>
      <w:r w:rsidRPr="00097253">
        <w:rPr>
          <w:i/>
          <w:color w:val="333333"/>
          <w:sz w:val="22"/>
          <w:szCs w:val="22"/>
        </w:rPr>
        <w:t>. Prior to the initial dispensing of each written certification, the pharmacist or pharmacy technician at the location of the pharmaceutical processor</w:t>
      </w:r>
      <w:r w:rsidRPr="00097253">
        <w:rPr>
          <w:i/>
          <w:iCs/>
          <w:color w:val="333333"/>
          <w:sz w:val="22"/>
          <w:szCs w:val="22"/>
        </w:rPr>
        <w:t xml:space="preserve"> or cannabis dispensing facility</w:t>
      </w:r>
      <w:r w:rsidRPr="00097253">
        <w:rPr>
          <w:i/>
          <w:color w:val="333333"/>
          <w:sz w:val="22"/>
          <w:szCs w:val="22"/>
        </w:rPr>
        <w:t xml:space="preserve"> shall make and maintain for two years a paper or electronic copy of the written certification that provides an exact image of the document that is clearly legible; shall view a current photo identification of the patient, registered agent, parent, or legal guardian; and shall verify current board registration of the practitioner and the corresponding patient, registered agent, parent, or legal guardian. Prior to any subsequent dispensing of each written certification, the pharmacist, pharmacy technician, or delivery agent shall view the current written certification; a current photo identification of the patient, registered agent, parent, or legal guardian; and the current board registration issued to the patient, registered agent, parent, or legal guardian. No pharmaceutical processor</w:t>
      </w:r>
      <w:r w:rsidRPr="00097253">
        <w:rPr>
          <w:i/>
          <w:iCs/>
          <w:color w:val="333333"/>
          <w:sz w:val="22"/>
          <w:szCs w:val="22"/>
        </w:rPr>
        <w:t xml:space="preserve"> or cannabis dispensing facility</w:t>
      </w:r>
      <w:r w:rsidRPr="00097253">
        <w:rPr>
          <w:i/>
          <w:color w:val="333333"/>
          <w:sz w:val="22"/>
          <w:szCs w:val="22"/>
        </w:rPr>
        <w:t xml:space="preserve"> shall dispense more than a 90-day supply for any patient during any 90-day period. The Board shall establish in regulation an amount of </w:t>
      </w:r>
      <w:r w:rsidRPr="00097253">
        <w:rPr>
          <w:i/>
          <w:iCs/>
          <w:color w:val="333333"/>
          <w:sz w:val="22"/>
          <w:szCs w:val="22"/>
        </w:rPr>
        <w:t>cannabis</w:t>
      </w:r>
      <w:r w:rsidRPr="00097253">
        <w:rPr>
          <w:i/>
          <w:color w:val="333333"/>
          <w:sz w:val="22"/>
          <w:szCs w:val="22"/>
        </w:rPr>
        <w:t xml:space="preserve"> oil that constitutes a 90-day supply to treat or alleviate the symptoms of a patient's diagnosed condition or disease.</w:t>
      </w:r>
    </w:p>
    <w:p w:rsidR="00097253" w:rsidRPr="00097253" w:rsidRDefault="00097253" w:rsidP="00097253">
      <w:pPr>
        <w:pStyle w:val="NormalWeb"/>
        <w:shd w:val="clear" w:color="auto" w:fill="FFFFFF"/>
        <w:rPr>
          <w:i/>
          <w:color w:val="333333"/>
          <w:sz w:val="22"/>
          <w:szCs w:val="22"/>
        </w:rPr>
      </w:pPr>
      <w:r w:rsidRPr="00097253">
        <w:rPr>
          <w:i/>
          <w:color w:val="333333"/>
          <w:sz w:val="22"/>
          <w:szCs w:val="22"/>
        </w:rPr>
        <w:t>B. A pharmaceutical processor</w:t>
      </w:r>
      <w:r w:rsidRPr="00097253">
        <w:rPr>
          <w:i/>
          <w:iCs/>
          <w:color w:val="333333"/>
          <w:sz w:val="22"/>
          <w:szCs w:val="22"/>
        </w:rPr>
        <w:t xml:space="preserve"> or cannabis dispensing facility</w:t>
      </w:r>
      <w:r w:rsidRPr="00097253">
        <w:rPr>
          <w:i/>
          <w:color w:val="333333"/>
          <w:sz w:val="22"/>
          <w:szCs w:val="22"/>
        </w:rPr>
        <w:t xml:space="preserve"> shall dispense only </w:t>
      </w:r>
      <w:r w:rsidRPr="00097253">
        <w:rPr>
          <w:i/>
          <w:iCs/>
          <w:color w:val="333333"/>
          <w:sz w:val="22"/>
          <w:szCs w:val="22"/>
        </w:rPr>
        <w:t>cannabis</w:t>
      </w:r>
      <w:r w:rsidRPr="00097253">
        <w:rPr>
          <w:i/>
          <w:color w:val="333333"/>
          <w:sz w:val="22"/>
          <w:szCs w:val="22"/>
        </w:rPr>
        <w:t xml:space="preserve"> oil that has been cultivated and produced on the premises of a pharmaceutical processor permitted by the Board. A pharmaceutical processor may begin cultivation upon being issued a permit by the Board.</w:t>
      </w:r>
    </w:p>
    <w:p w:rsidR="00097253" w:rsidRPr="00097253" w:rsidRDefault="00097253" w:rsidP="00097253">
      <w:pPr>
        <w:pStyle w:val="NormalWeb"/>
        <w:shd w:val="clear" w:color="auto" w:fill="FFFFFF"/>
        <w:rPr>
          <w:i/>
          <w:color w:val="333333"/>
          <w:sz w:val="22"/>
          <w:szCs w:val="22"/>
        </w:rPr>
      </w:pPr>
      <w:r w:rsidRPr="00097253">
        <w:rPr>
          <w:i/>
          <w:color w:val="333333"/>
          <w:sz w:val="22"/>
          <w:szCs w:val="22"/>
        </w:rPr>
        <w:t>C. The Board shall report annually by December 1 to the Chairmen of the House</w:t>
      </w:r>
      <w:r w:rsidRPr="00097253">
        <w:rPr>
          <w:i/>
          <w:iCs/>
          <w:color w:val="333333"/>
          <w:sz w:val="22"/>
          <w:szCs w:val="22"/>
        </w:rPr>
        <w:t xml:space="preserve"> Committee</w:t>
      </w:r>
      <w:r w:rsidRPr="00097253">
        <w:rPr>
          <w:i/>
          <w:color w:val="333333"/>
          <w:sz w:val="22"/>
          <w:szCs w:val="22"/>
        </w:rPr>
        <w:t xml:space="preserve"> for Courts of Justice</w:t>
      </w:r>
      <w:r w:rsidRPr="00097253">
        <w:rPr>
          <w:i/>
          <w:iCs/>
          <w:color w:val="333333"/>
          <w:sz w:val="22"/>
          <w:szCs w:val="22"/>
        </w:rPr>
        <w:t xml:space="preserve"> and the Senate Committee on the Judiciary</w:t>
      </w:r>
      <w:r w:rsidRPr="00097253">
        <w:rPr>
          <w:i/>
          <w:color w:val="333333"/>
          <w:sz w:val="22"/>
          <w:szCs w:val="22"/>
        </w:rPr>
        <w:t xml:space="preserve"> on the operation of pharmaceutical processors</w:t>
      </w:r>
      <w:r w:rsidRPr="00097253">
        <w:rPr>
          <w:i/>
          <w:iCs/>
          <w:color w:val="333333"/>
          <w:sz w:val="22"/>
          <w:szCs w:val="22"/>
        </w:rPr>
        <w:t xml:space="preserve"> and cannabis dispensing facilities</w:t>
      </w:r>
      <w:r w:rsidRPr="00097253">
        <w:rPr>
          <w:i/>
          <w:color w:val="333333"/>
          <w:sz w:val="22"/>
          <w:szCs w:val="22"/>
        </w:rPr>
        <w:t xml:space="preserve"> issued a permit by the Board, including the number of practitioners, patients, registered agents, and parents or legal guardians of patients who have registered with the Board and the number of written certifications issued pursuant to § </w:t>
      </w:r>
      <w:hyperlink r:id="rId11" w:history="1">
        <w:r w:rsidRPr="00097253">
          <w:rPr>
            <w:rStyle w:val="Hyperlink"/>
            <w:i/>
            <w:sz w:val="22"/>
            <w:szCs w:val="22"/>
          </w:rPr>
          <w:t>54.1-3408.3</w:t>
        </w:r>
      </w:hyperlink>
      <w:r w:rsidRPr="00097253">
        <w:rPr>
          <w:i/>
          <w:color w:val="333333"/>
          <w:sz w:val="22"/>
          <w:szCs w:val="22"/>
        </w:rPr>
        <w:t>.</w:t>
      </w:r>
    </w:p>
    <w:p w:rsidR="00097253" w:rsidRPr="00097253" w:rsidRDefault="00097253" w:rsidP="00097253">
      <w:pPr>
        <w:pStyle w:val="NormalWeb"/>
        <w:shd w:val="clear" w:color="auto" w:fill="FFFFFF"/>
        <w:rPr>
          <w:i/>
          <w:color w:val="333333"/>
          <w:sz w:val="22"/>
          <w:szCs w:val="22"/>
        </w:rPr>
      </w:pPr>
      <w:r w:rsidRPr="00097253">
        <w:rPr>
          <w:i/>
          <w:color w:val="333333"/>
          <w:sz w:val="22"/>
          <w:szCs w:val="22"/>
        </w:rPr>
        <w:t xml:space="preserve">D. The concentration of tetrahydrocannabinol in any </w:t>
      </w:r>
      <w:r w:rsidRPr="00097253">
        <w:rPr>
          <w:i/>
          <w:iCs/>
          <w:color w:val="333333"/>
          <w:sz w:val="22"/>
          <w:szCs w:val="22"/>
        </w:rPr>
        <w:t>cannabis</w:t>
      </w:r>
      <w:r w:rsidRPr="00097253">
        <w:rPr>
          <w:i/>
          <w:color w:val="333333"/>
          <w:sz w:val="22"/>
          <w:szCs w:val="22"/>
        </w:rPr>
        <w:t xml:space="preserve"> oil on site may be up to 10 percent greater than or less than the level of tetrahydrocannabinol measured for labeling. A pharmaceutical processor</w:t>
      </w:r>
      <w:r w:rsidRPr="00097253">
        <w:rPr>
          <w:i/>
          <w:iCs/>
          <w:color w:val="333333"/>
          <w:sz w:val="22"/>
          <w:szCs w:val="22"/>
        </w:rPr>
        <w:t xml:space="preserve"> and cannabis dispensing facility</w:t>
      </w:r>
      <w:r w:rsidRPr="00097253">
        <w:rPr>
          <w:i/>
          <w:color w:val="333333"/>
          <w:sz w:val="22"/>
          <w:szCs w:val="22"/>
        </w:rPr>
        <w:t xml:space="preserve"> shall ensure that such concentration in any </w:t>
      </w:r>
      <w:r w:rsidRPr="00097253">
        <w:rPr>
          <w:i/>
          <w:iCs/>
          <w:color w:val="333333"/>
          <w:sz w:val="22"/>
          <w:szCs w:val="22"/>
        </w:rPr>
        <w:t>cannabis oil on site</w:t>
      </w:r>
      <w:r w:rsidRPr="00097253">
        <w:rPr>
          <w:i/>
          <w:color w:val="333333"/>
          <w:sz w:val="22"/>
          <w:szCs w:val="22"/>
        </w:rPr>
        <w:t xml:space="preserve"> is within such range</w:t>
      </w:r>
      <w:r w:rsidRPr="00097253">
        <w:rPr>
          <w:i/>
          <w:iCs/>
          <w:color w:val="333333"/>
          <w:sz w:val="22"/>
          <w:szCs w:val="22"/>
        </w:rPr>
        <w:t>. A pharmaceutical processor producing cannabis oil</w:t>
      </w:r>
      <w:r w:rsidRPr="00097253">
        <w:rPr>
          <w:i/>
          <w:color w:val="333333"/>
          <w:sz w:val="22"/>
          <w:szCs w:val="22"/>
        </w:rPr>
        <w:t xml:space="preserve"> shall establish a stability testing schedule of </w:t>
      </w:r>
      <w:r w:rsidRPr="00097253">
        <w:rPr>
          <w:i/>
          <w:iCs/>
          <w:color w:val="333333"/>
          <w:sz w:val="22"/>
          <w:szCs w:val="22"/>
        </w:rPr>
        <w:t>cannabis</w:t>
      </w:r>
      <w:r w:rsidRPr="00097253">
        <w:rPr>
          <w:i/>
          <w:color w:val="333333"/>
          <w:sz w:val="22"/>
          <w:szCs w:val="22"/>
        </w:rPr>
        <w:t xml:space="preserve"> oil.</w:t>
      </w:r>
    </w:p>
    <w:p w:rsidR="00205ADD" w:rsidRPr="00097253" w:rsidRDefault="006D1052" w:rsidP="00205ADD">
      <w:pPr>
        <w:jc w:val="both"/>
        <w:rPr>
          <w:rFonts w:ascii="Times New Roman" w:hAnsi="Times New Roman" w:cs="Times New Roman"/>
          <w:b/>
          <w:i/>
          <w:sz w:val="24"/>
          <w:szCs w:val="24"/>
        </w:rPr>
      </w:pPr>
      <w:r w:rsidRPr="00097253">
        <w:rPr>
          <w:rFonts w:ascii="Times New Roman" w:hAnsi="Times New Roman" w:cs="Times New Roman"/>
          <w:b/>
          <w:i/>
          <w:sz w:val="24"/>
          <w:szCs w:val="24"/>
        </w:rPr>
        <w:t>Excerpt from 18VAC110-60-310</w:t>
      </w:r>
      <w:r w:rsidR="00097253">
        <w:rPr>
          <w:rFonts w:ascii="Times New Roman" w:hAnsi="Times New Roman" w:cs="Times New Roman"/>
          <w:b/>
          <w:i/>
          <w:sz w:val="24"/>
          <w:szCs w:val="24"/>
        </w:rPr>
        <w:t xml:space="preserve"> (as amended by the Board on June 16, 2020)</w:t>
      </w:r>
      <w:r w:rsidRPr="00097253">
        <w:rPr>
          <w:rFonts w:ascii="Times New Roman" w:hAnsi="Times New Roman" w:cs="Times New Roman"/>
          <w:b/>
          <w:i/>
          <w:sz w:val="24"/>
          <w:szCs w:val="24"/>
        </w:rPr>
        <w:t>:</w:t>
      </w:r>
    </w:p>
    <w:p w:rsidR="006D1052" w:rsidRPr="00097253" w:rsidRDefault="006D1052" w:rsidP="006D1052">
      <w:pPr>
        <w:spacing w:before="100" w:beforeAutospacing="1" w:after="100" w:afterAutospacing="1" w:line="240" w:lineRule="auto"/>
        <w:outlineLvl w:val="1"/>
        <w:rPr>
          <w:rFonts w:ascii="Times New Roman" w:eastAsia="Times New Roman" w:hAnsi="Times New Roman" w:cs="Times New Roman"/>
          <w:b/>
          <w:bCs/>
          <w:i/>
        </w:rPr>
      </w:pPr>
      <w:bookmarkStart w:id="2" w:name="_Toc28592548"/>
      <w:r w:rsidRPr="00097253">
        <w:rPr>
          <w:rFonts w:ascii="Times New Roman" w:eastAsia="Times New Roman" w:hAnsi="Times New Roman" w:cs="Times New Roman"/>
          <w:b/>
          <w:bCs/>
          <w:i/>
        </w:rPr>
        <w:t xml:space="preserve">18VAC110-60-310. Dispensing of </w:t>
      </w:r>
      <w:r w:rsidR="00097253" w:rsidRPr="00097253">
        <w:rPr>
          <w:rFonts w:ascii="Times New Roman" w:eastAsia="Times New Roman" w:hAnsi="Times New Roman" w:cs="Times New Roman"/>
          <w:b/>
          <w:bCs/>
          <w:i/>
        </w:rPr>
        <w:t xml:space="preserve">cannabis </w:t>
      </w:r>
      <w:r w:rsidRPr="00097253">
        <w:rPr>
          <w:rFonts w:ascii="Times New Roman" w:eastAsia="Times New Roman" w:hAnsi="Times New Roman" w:cs="Times New Roman"/>
          <w:b/>
          <w:bCs/>
          <w:i/>
        </w:rPr>
        <w:t>oil.</w:t>
      </w:r>
      <w:bookmarkEnd w:id="2"/>
    </w:p>
    <w:p w:rsidR="006D1052" w:rsidRPr="00097253" w:rsidRDefault="006D1052" w:rsidP="006D1052">
      <w:pPr>
        <w:autoSpaceDE w:val="0"/>
        <w:autoSpaceDN w:val="0"/>
        <w:spacing w:before="100" w:beforeAutospacing="1" w:after="100" w:afterAutospacing="1" w:line="240" w:lineRule="auto"/>
        <w:ind w:firstLine="360"/>
        <w:jc w:val="both"/>
        <w:rPr>
          <w:rFonts w:ascii="Times New Roman" w:eastAsiaTheme="minorEastAsia" w:hAnsi="Times New Roman" w:cs="Times New Roman"/>
          <w:i/>
        </w:rPr>
      </w:pPr>
      <w:r w:rsidRPr="00097253">
        <w:rPr>
          <w:rFonts w:ascii="Times New Roman" w:eastAsiaTheme="minorEastAsia" w:hAnsi="Times New Roman" w:cs="Times New Roman"/>
          <w:i/>
        </w:rPr>
        <w:t xml:space="preserve">A. A pharmacist in good faith may dispense </w:t>
      </w:r>
      <w:r w:rsidR="00097253" w:rsidRPr="00097253">
        <w:rPr>
          <w:rFonts w:ascii="Times New Roman" w:eastAsiaTheme="minorEastAsia" w:hAnsi="Times New Roman" w:cs="Times New Roman"/>
          <w:i/>
        </w:rPr>
        <w:t xml:space="preserve">cannabis </w:t>
      </w:r>
      <w:r w:rsidRPr="00097253">
        <w:rPr>
          <w:rFonts w:ascii="Times New Roman" w:eastAsiaTheme="minorEastAsia" w:hAnsi="Times New Roman" w:cs="Times New Roman"/>
          <w:i/>
        </w:rPr>
        <w:t xml:space="preserve">oil to any registered patient, parent, or legal guardian as indicated on the written certification or to a registered agent for a specific patient. </w:t>
      </w:r>
    </w:p>
    <w:p w:rsidR="006D1052" w:rsidRPr="00097253" w:rsidRDefault="006D1052" w:rsidP="006D1052">
      <w:pPr>
        <w:autoSpaceDE w:val="0"/>
        <w:autoSpaceDN w:val="0"/>
        <w:spacing w:before="100" w:beforeAutospacing="1" w:after="100" w:afterAutospacing="1" w:line="240" w:lineRule="auto"/>
        <w:ind w:left="720"/>
        <w:jc w:val="both"/>
        <w:rPr>
          <w:rFonts w:ascii="Times New Roman" w:eastAsiaTheme="minorEastAsia" w:hAnsi="Times New Roman" w:cs="Times New Roman"/>
          <w:i/>
        </w:rPr>
      </w:pPr>
      <w:r w:rsidRPr="00097253">
        <w:rPr>
          <w:rFonts w:ascii="Times New Roman" w:eastAsiaTheme="minorEastAsia" w:hAnsi="Times New Roman" w:cs="Times New Roman"/>
          <w:i/>
        </w:rPr>
        <w:t xml:space="preserve">1. Prior to the initial dispensing of oil pursuant to each written certification, the pharmacist or pharmacy technician at the location of the pharmaceutical processor shall view a current photo identification of the patient, parent, legal guardian, or registered agent. The pharmacist or pharmacy technician shall verify in the Virginia Prescription Monitoring Program of the Department of Health Professions or other program recognized by the board that the registrations are current, the written certification has not expired, and the date and quantity of the last dispensing of </w:t>
      </w:r>
      <w:r w:rsidR="00097253">
        <w:rPr>
          <w:rFonts w:ascii="Times New Roman" w:eastAsiaTheme="minorEastAsia" w:hAnsi="Times New Roman" w:cs="Times New Roman"/>
          <w:i/>
          <w:sz w:val="24"/>
          <w:szCs w:val="24"/>
        </w:rPr>
        <w:t>cannabis</w:t>
      </w:r>
      <w:r w:rsidR="00097253" w:rsidRPr="00097253">
        <w:rPr>
          <w:rFonts w:ascii="Times New Roman" w:eastAsiaTheme="minorEastAsia" w:hAnsi="Times New Roman" w:cs="Times New Roman"/>
          <w:i/>
        </w:rPr>
        <w:t xml:space="preserve"> </w:t>
      </w:r>
      <w:r w:rsidRPr="00097253">
        <w:rPr>
          <w:rFonts w:ascii="Times New Roman" w:eastAsiaTheme="minorEastAsia" w:hAnsi="Times New Roman" w:cs="Times New Roman"/>
          <w:i/>
        </w:rPr>
        <w:t xml:space="preserve">oil to the registered patient. </w:t>
      </w:r>
    </w:p>
    <w:p w:rsidR="006D1052" w:rsidRPr="00097253" w:rsidRDefault="006D1052" w:rsidP="006D1052">
      <w:pPr>
        <w:autoSpaceDE w:val="0"/>
        <w:autoSpaceDN w:val="0"/>
        <w:spacing w:before="100" w:beforeAutospacing="1" w:after="100" w:afterAutospacing="1" w:line="240" w:lineRule="auto"/>
        <w:ind w:left="720"/>
        <w:jc w:val="both"/>
        <w:rPr>
          <w:rFonts w:ascii="Times New Roman" w:eastAsiaTheme="minorEastAsia" w:hAnsi="Times New Roman" w:cs="Times New Roman"/>
          <w:i/>
        </w:rPr>
      </w:pPr>
      <w:r w:rsidRPr="00097253">
        <w:rPr>
          <w:rFonts w:ascii="Times New Roman" w:eastAsiaTheme="minorEastAsia" w:hAnsi="Times New Roman" w:cs="Times New Roman"/>
          <w:i/>
        </w:rPr>
        <w:lastRenderedPageBreak/>
        <w:t>2. The pharmacist or pharmacy technician shall make and maintain for three years a paper or electronic copy of the current written certification that provides an exact image of the document that is clearly legible.</w:t>
      </w:r>
    </w:p>
    <w:p w:rsidR="006D1052" w:rsidRPr="00097253" w:rsidRDefault="006D1052" w:rsidP="006D1052">
      <w:pPr>
        <w:autoSpaceDE w:val="0"/>
        <w:autoSpaceDN w:val="0"/>
        <w:spacing w:before="100" w:beforeAutospacing="1" w:after="100" w:afterAutospacing="1" w:line="240" w:lineRule="auto"/>
        <w:ind w:left="720"/>
        <w:jc w:val="both"/>
        <w:rPr>
          <w:rFonts w:ascii="Times New Roman" w:eastAsiaTheme="minorEastAsia" w:hAnsi="Times New Roman" w:cs="Times New Roman"/>
          <w:i/>
        </w:rPr>
      </w:pPr>
      <w:r w:rsidRPr="00097253">
        <w:rPr>
          <w:rFonts w:ascii="Times New Roman" w:eastAsiaTheme="minorEastAsia" w:hAnsi="Times New Roman" w:cs="Times New Roman"/>
          <w:i/>
        </w:rPr>
        <w:t xml:space="preserve">3. Prior to any subsequent dispensing, the pharmacist, pharmacy technician, or delivery agent shall view the current written certification and a current photo identification and current registration of the patient, parent, legal guardian, or registered agent and shall maintain record of such viewing in accordance with policies and procedures of the processor. </w:t>
      </w:r>
    </w:p>
    <w:p w:rsidR="00C43298" w:rsidRPr="00097253" w:rsidRDefault="00C43298" w:rsidP="00C43298">
      <w:pPr>
        <w:spacing w:before="100" w:beforeAutospacing="1" w:after="100" w:afterAutospacing="1" w:line="240" w:lineRule="auto"/>
        <w:outlineLvl w:val="1"/>
        <w:rPr>
          <w:rFonts w:ascii="Times New Roman" w:eastAsia="Times New Roman" w:hAnsi="Times New Roman" w:cs="Times New Roman"/>
          <w:b/>
          <w:bCs/>
          <w:i/>
        </w:rPr>
      </w:pPr>
      <w:bookmarkStart w:id="3" w:name="_Toc28592511"/>
      <w:r w:rsidRPr="00097253">
        <w:rPr>
          <w:rFonts w:ascii="Times New Roman" w:eastAsia="Times New Roman" w:hAnsi="Times New Roman" w:cs="Times New Roman"/>
          <w:b/>
          <w:bCs/>
          <w:i/>
        </w:rPr>
        <w:t>Excerpt from 18VAC110-60-10:</w:t>
      </w:r>
      <w:bookmarkStart w:id="4" w:name="_GoBack"/>
      <w:bookmarkEnd w:id="4"/>
    </w:p>
    <w:p w:rsidR="00C43298" w:rsidRPr="00097253" w:rsidRDefault="00C43298" w:rsidP="00C43298">
      <w:pPr>
        <w:spacing w:before="100" w:beforeAutospacing="1" w:after="100" w:afterAutospacing="1" w:line="240" w:lineRule="auto"/>
        <w:outlineLvl w:val="1"/>
        <w:rPr>
          <w:rFonts w:ascii="Times New Roman" w:eastAsia="Times New Roman" w:hAnsi="Times New Roman" w:cs="Times New Roman"/>
          <w:b/>
          <w:bCs/>
          <w:i/>
        </w:rPr>
      </w:pPr>
      <w:r w:rsidRPr="00097253">
        <w:rPr>
          <w:rFonts w:ascii="Times New Roman" w:eastAsia="Times New Roman" w:hAnsi="Times New Roman" w:cs="Times New Roman"/>
          <w:b/>
          <w:bCs/>
          <w:i/>
        </w:rPr>
        <w:t>18VAC110-60-10. Definitions.</w:t>
      </w:r>
      <w:bookmarkEnd w:id="3"/>
    </w:p>
    <w:p w:rsidR="00C43298" w:rsidRPr="00097253" w:rsidRDefault="00C43298" w:rsidP="00C43298">
      <w:pPr>
        <w:autoSpaceDE w:val="0"/>
        <w:autoSpaceDN w:val="0"/>
        <w:spacing w:before="100" w:beforeAutospacing="1" w:after="100" w:afterAutospacing="1" w:line="240" w:lineRule="auto"/>
        <w:ind w:firstLine="360"/>
        <w:jc w:val="both"/>
        <w:rPr>
          <w:rFonts w:ascii="Times New Roman" w:eastAsiaTheme="minorEastAsia" w:hAnsi="Times New Roman" w:cs="Times New Roman"/>
          <w:i/>
        </w:rPr>
      </w:pPr>
      <w:r w:rsidRPr="00097253">
        <w:rPr>
          <w:rFonts w:ascii="Times New Roman" w:eastAsiaTheme="minorEastAsia" w:hAnsi="Times New Roman" w:cs="Times New Roman"/>
          <w:i/>
        </w:rPr>
        <w:t xml:space="preserve">In addition to words and terms defined in §§ 54.1-3408.3 and 54.1-3442.5 of the Code of Virginia, the following words and terms when used in this chapter shall have the following meanings, unless the context clearly indicates otherwise: </w:t>
      </w:r>
    </w:p>
    <w:p w:rsidR="00C43298" w:rsidRPr="00097253" w:rsidRDefault="00C43298" w:rsidP="00C43298">
      <w:pPr>
        <w:autoSpaceDE w:val="0"/>
        <w:autoSpaceDN w:val="0"/>
        <w:spacing w:before="100" w:beforeAutospacing="1" w:after="100" w:afterAutospacing="1" w:line="240" w:lineRule="auto"/>
        <w:ind w:firstLine="360"/>
        <w:jc w:val="both"/>
        <w:rPr>
          <w:rFonts w:ascii="Times New Roman" w:eastAsiaTheme="minorEastAsia" w:hAnsi="Times New Roman" w:cs="Times New Roman"/>
          <w:i/>
        </w:rPr>
      </w:pPr>
      <w:r w:rsidRPr="00097253">
        <w:rPr>
          <w:rFonts w:ascii="Times New Roman" w:eastAsiaTheme="minorEastAsia" w:hAnsi="Times New Roman" w:cs="Times New Roman"/>
          <w:i/>
        </w:rPr>
        <w:t>"90-day supply" means the amount of oil reasonably necessary to ensure an uninterrupted availability of supply for a 90-day period for registered patients.</w:t>
      </w:r>
    </w:p>
    <w:p w:rsidR="006D1052" w:rsidRPr="00097253" w:rsidRDefault="006D1052" w:rsidP="00205ADD">
      <w:pPr>
        <w:jc w:val="both"/>
        <w:rPr>
          <w:rFonts w:ascii="Times New Roman" w:hAnsi="Times New Roman" w:cs="Times New Roman"/>
          <w:i/>
        </w:rPr>
      </w:pPr>
    </w:p>
    <w:sectPr w:rsidR="006D1052" w:rsidRPr="00097253">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1D5E" w:rsidRDefault="009D1D5E" w:rsidP="009D1D5E">
      <w:pPr>
        <w:spacing w:after="0" w:line="240" w:lineRule="auto"/>
      </w:pPr>
      <w:r>
        <w:separator/>
      </w:r>
    </w:p>
  </w:endnote>
  <w:endnote w:type="continuationSeparator" w:id="0">
    <w:p w:rsidR="009D1D5E" w:rsidRDefault="009D1D5E" w:rsidP="009D1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1D5E" w:rsidRDefault="009D1D5E" w:rsidP="009D1D5E">
      <w:pPr>
        <w:spacing w:after="0" w:line="240" w:lineRule="auto"/>
      </w:pPr>
      <w:r>
        <w:separator/>
      </w:r>
    </w:p>
  </w:footnote>
  <w:footnote w:type="continuationSeparator" w:id="0">
    <w:p w:rsidR="009D1D5E" w:rsidRDefault="009D1D5E" w:rsidP="009D1D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D5E" w:rsidRPr="000A53D5" w:rsidRDefault="009D1D5E">
    <w:pPr>
      <w:pStyle w:val="Header"/>
      <w:rPr>
        <w:rFonts w:ascii="Times New Roman" w:hAnsi="Times New Roman" w:cs="Times New Roman"/>
      </w:rPr>
    </w:pPr>
    <w:r w:rsidRPr="000A53D5">
      <w:rPr>
        <w:rFonts w:ascii="Times New Roman" w:hAnsi="Times New Roman" w:cs="Times New Roman"/>
      </w:rPr>
      <w:t>Guidance Document: 110-</w:t>
    </w:r>
    <w:r w:rsidR="00D05373">
      <w:rPr>
        <w:rFonts w:ascii="Times New Roman" w:hAnsi="Times New Roman" w:cs="Times New Roman"/>
      </w:rPr>
      <w:t>48</w:t>
    </w:r>
    <w:r w:rsidRPr="000A53D5">
      <w:rPr>
        <w:rFonts w:ascii="Times New Roman" w:hAnsi="Times New Roman" w:cs="Times New Roman"/>
      </w:rPr>
      <w:tab/>
    </w:r>
    <w:r w:rsidRPr="000A53D5">
      <w:rPr>
        <w:rFonts w:ascii="Times New Roman" w:hAnsi="Times New Roman" w:cs="Times New Roman"/>
      </w:rPr>
      <w:tab/>
      <w:t>Adopted:</w:t>
    </w:r>
    <w:r w:rsidR="000A53D5">
      <w:rPr>
        <w:rFonts w:ascii="Times New Roman" w:hAnsi="Times New Roman" w:cs="Times New Roman"/>
      </w:rPr>
      <w:t xml:space="preserve"> </w:t>
    </w:r>
    <w:r w:rsidR="00E579D6">
      <w:rPr>
        <w:rFonts w:ascii="Times New Roman" w:hAnsi="Times New Roman" w:cs="Times New Roman"/>
      </w:rPr>
      <w:t>June 16</w:t>
    </w:r>
    <w:r w:rsidR="000A53D5" w:rsidRPr="00C37E74">
      <w:rPr>
        <w:rFonts w:ascii="Times New Roman" w:hAnsi="Times New Roman" w:cs="Times New Roman"/>
      </w:rPr>
      <w:t>, 2020</w:t>
    </w:r>
  </w:p>
  <w:p w:rsidR="009D1D5E" w:rsidRDefault="009D1D5E">
    <w:pPr>
      <w:pStyle w:val="Header"/>
      <w:rPr>
        <w:rFonts w:ascii="Times New Roman" w:hAnsi="Times New Roman" w:cs="Times New Roman"/>
      </w:rPr>
    </w:pPr>
    <w:r w:rsidRPr="000A53D5">
      <w:rPr>
        <w:rFonts w:ascii="Times New Roman" w:hAnsi="Times New Roman" w:cs="Times New Roman"/>
      </w:rPr>
      <w:tab/>
    </w:r>
    <w:r w:rsidRPr="000A53D5">
      <w:rPr>
        <w:rFonts w:ascii="Times New Roman" w:hAnsi="Times New Roman" w:cs="Times New Roman"/>
      </w:rPr>
      <w:tab/>
      <w:t>Effective:</w:t>
    </w:r>
    <w:r w:rsidR="00E579D6">
      <w:rPr>
        <w:rFonts w:ascii="Times New Roman" w:hAnsi="Times New Roman" w:cs="Times New Roman"/>
      </w:rPr>
      <w:t xml:space="preserve"> August 6</w:t>
    </w:r>
    <w:r w:rsidR="00C37E74">
      <w:rPr>
        <w:rFonts w:ascii="Times New Roman" w:hAnsi="Times New Roman" w:cs="Times New Roman"/>
      </w:rPr>
      <w:t>, 2020</w:t>
    </w:r>
  </w:p>
  <w:p w:rsidR="00C37E74" w:rsidRPr="000A53D5" w:rsidRDefault="00C37E74">
    <w:pPr>
      <w:pStyle w:val="Header"/>
      <w:rPr>
        <w:rFonts w:ascii="Times New Roman" w:hAnsi="Times New Roman" w:cs="Times New Roman"/>
      </w:rPr>
    </w:pPr>
  </w:p>
  <w:p w:rsidR="009D1D5E" w:rsidRDefault="009D1D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D5E"/>
    <w:rsid w:val="00052D8E"/>
    <w:rsid w:val="0007691B"/>
    <w:rsid w:val="00097253"/>
    <w:rsid w:val="000A53D5"/>
    <w:rsid w:val="00205ADD"/>
    <w:rsid w:val="002C008B"/>
    <w:rsid w:val="00450BEF"/>
    <w:rsid w:val="00565312"/>
    <w:rsid w:val="006531B2"/>
    <w:rsid w:val="006D1052"/>
    <w:rsid w:val="006F563E"/>
    <w:rsid w:val="007E7523"/>
    <w:rsid w:val="00875313"/>
    <w:rsid w:val="0095252B"/>
    <w:rsid w:val="009D1D5E"/>
    <w:rsid w:val="00A807B6"/>
    <w:rsid w:val="00C37E74"/>
    <w:rsid w:val="00C43298"/>
    <w:rsid w:val="00D05373"/>
    <w:rsid w:val="00DA6887"/>
    <w:rsid w:val="00DD0786"/>
    <w:rsid w:val="00E579D6"/>
    <w:rsid w:val="00E730E7"/>
    <w:rsid w:val="00ED0BA0"/>
    <w:rsid w:val="00F86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BE984C3"/>
  <w15:chartTrackingRefBased/>
  <w15:docId w15:val="{626B778D-7A01-4A62-AC3A-CAD823C46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unhideWhenUsed/>
    <w:qFormat/>
    <w:rsid w:val="007E7523"/>
    <w:pPr>
      <w:keepNext/>
      <w:spacing w:before="240" w:after="60" w:line="240" w:lineRule="auto"/>
      <w:jc w:val="both"/>
      <w:outlineLvl w:val="1"/>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1D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1D5E"/>
  </w:style>
  <w:style w:type="paragraph" w:styleId="Footer">
    <w:name w:val="footer"/>
    <w:basedOn w:val="Normal"/>
    <w:link w:val="FooterChar"/>
    <w:uiPriority w:val="99"/>
    <w:unhideWhenUsed/>
    <w:rsid w:val="009D1D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1D5E"/>
  </w:style>
  <w:style w:type="character" w:customStyle="1" w:styleId="Heading2Char">
    <w:name w:val="Heading 2 Char"/>
    <w:basedOn w:val="DefaultParagraphFont"/>
    <w:link w:val="Heading2"/>
    <w:uiPriority w:val="9"/>
    <w:rsid w:val="007E7523"/>
    <w:rPr>
      <w:rFonts w:ascii="Times New Roman" w:hAnsi="Times New Roman" w:cs="Times New Roman"/>
      <w:b/>
      <w:bCs/>
      <w:sz w:val="24"/>
      <w:szCs w:val="24"/>
    </w:rPr>
  </w:style>
  <w:style w:type="character" w:styleId="Hyperlink">
    <w:name w:val="Hyperlink"/>
    <w:basedOn w:val="DefaultParagraphFont"/>
    <w:uiPriority w:val="99"/>
    <w:unhideWhenUsed/>
    <w:rsid w:val="007E7523"/>
    <w:rPr>
      <w:color w:val="0563C1"/>
      <w:u w:val="single"/>
    </w:rPr>
  </w:style>
  <w:style w:type="paragraph" w:styleId="NormalWeb">
    <w:name w:val="Normal (Web)"/>
    <w:basedOn w:val="Normal"/>
    <w:uiPriority w:val="99"/>
    <w:unhideWhenUsed/>
    <w:rsid w:val="007E7523"/>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115086">
      <w:bodyDiv w:val="1"/>
      <w:marLeft w:val="0"/>
      <w:marRight w:val="0"/>
      <w:marTop w:val="0"/>
      <w:marBottom w:val="0"/>
      <w:divBdr>
        <w:top w:val="none" w:sz="0" w:space="0" w:color="auto"/>
        <w:left w:val="none" w:sz="0" w:space="0" w:color="auto"/>
        <w:bottom w:val="none" w:sz="0" w:space="0" w:color="auto"/>
        <w:right w:val="none" w:sz="0" w:space="0" w:color="auto"/>
      </w:divBdr>
      <w:divsChild>
        <w:div w:id="763457725">
          <w:marLeft w:val="0"/>
          <w:marRight w:val="0"/>
          <w:marTop w:val="0"/>
          <w:marBottom w:val="0"/>
          <w:divBdr>
            <w:top w:val="none" w:sz="0" w:space="0" w:color="auto"/>
            <w:left w:val="single" w:sz="6" w:space="0" w:color="BEB9A8"/>
            <w:bottom w:val="none" w:sz="0" w:space="0" w:color="auto"/>
            <w:right w:val="single" w:sz="6" w:space="0" w:color="BEB9A8"/>
          </w:divBdr>
          <w:divsChild>
            <w:div w:id="315230817">
              <w:marLeft w:val="0"/>
              <w:marRight w:val="0"/>
              <w:marTop w:val="0"/>
              <w:marBottom w:val="0"/>
              <w:divBdr>
                <w:top w:val="none" w:sz="0" w:space="0" w:color="auto"/>
                <w:left w:val="none" w:sz="0" w:space="0" w:color="auto"/>
                <w:bottom w:val="none" w:sz="0" w:space="0" w:color="auto"/>
                <w:right w:val="none" w:sz="0" w:space="0" w:color="auto"/>
              </w:divBdr>
              <w:divsChild>
                <w:div w:id="17638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92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aw.lis.virginia.gov/vacode/54.1-3408.3"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law.lis.virginia.gov/vacode/54.1-3442.7"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hp.virginia.gov" TargetMode="External"/><Relationship Id="rId11" Type="http://schemas.openxmlformats.org/officeDocument/2006/relationships/hyperlink" Target="http://law.lis.virginia.gov/vacode/54.1-3408.3" TargetMode="External"/><Relationship Id="rId5" Type="http://schemas.openxmlformats.org/officeDocument/2006/relationships/endnotes" Target="endnotes.xml"/><Relationship Id="rId10" Type="http://schemas.openxmlformats.org/officeDocument/2006/relationships/hyperlink" Target="http://law.lis.virginia.gov/vacode/54.1-3408.3" TargetMode="External"/><Relationship Id="rId4" Type="http://schemas.openxmlformats.org/officeDocument/2006/relationships/footnotes" Target="footnotes.xml"/><Relationship Id="rId9" Type="http://schemas.openxmlformats.org/officeDocument/2006/relationships/hyperlink" Target="http://law.lis.virginia.gov/vacode/18.2-36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1214</Words>
  <Characters>6920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8118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 Annette (DHP)</dc:creator>
  <cp:keywords/>
  <dc:description/>
  <cp:lastModifiedBy>VITA Program</cp:lastModifiedBy>
  <cp:revision>3</cp:revision>
  <dcterms:created xsi:type="dcterms:W3CDTF">2020-06-08T13:27:00Z</dcterms:created>
  <dcterms:modified xsi:type="dcterms:W3CDTF">2020-06-16T21:05:00Z</dcterms:modified>
</cp:coreProperties>
</file>