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674A" w14:textId="794A4CAA" w:rsidR="00CB5D14" w:rsidRDefault="00610A5E" w:rsidP="00A84B43">
      <w:pPr>
        <w:pStyle w:val="textbl"/>
        <w:jc w:val="center"/>
      </w:pPr>
      <w:r w:rsidRPr="00A84B43">
        <w:rPr>
          <w:b/>
          <w:bCs/>
          <w:highlight w:val="yellow"/>
        </w:rPr>
        <w:t>Emergency</w:t>
      </w:r>
      <w:r w:rsidR="00A84B43" w:rsidRPr="00A84B43">
        <w:rPr>
          <w:b/>
          <w:bCs/>
          <w:highlight w:val="yellow"/>
        </w:rPr>
        <w:t xml:space="preserve"> Regulations – effective 12/22/21 to </w:t>
      </w:r>
      <w:r w:rsidR="00AF5DCB">
        <w:rPr>
          <w:b/>
          <w:bCs/>
          <w:highlight w:val="yellow"/>
        </w:rPr>
        <w:t>12</w:t>
      </w:r>
      <w:r w:rsidR="00A84B43" w:rsidRPr="00A84B43">
        <w:rPr>
          <w:b/>
          <w:bCs/>
          <w:highlight w:val="yellow"/>
        </w:rPr>
        <w:t>/2</w:t>
      </w:r>
      <w:r w:rsidR="00AF5DCB">
        <w:rPr>
          <w:b/>
          <w:bCs/>
          <w:highlight w:val="yellow"/>
        </w:rPr>
        <w:t>0</w:t>
      </w:r>
      <w:r w:rsidR="00A84B43" w:rsidRPr="00A84B43">
        <w:rPr>
          <w:b/>
          <w:bCs/>
          <w:highlight w:val="yellow"/>
        </w:rPr>
        <w:t>/23</w:t>
      </w:r>
    </w:p>
    <w:p w14:paraId="680A72F3" w14:textId="77777777" w:rsidR="00CB5D14" w:rsidRDefault="00A84B43">
      <w:pPr>
        <w:pStyle w:val="center"/>
      </w:pPr>
      <w:r>
        <w:rPr>
          <w:b/>
          <w:bCs/>
        </w:rPr>
        <w:t>Board o</w:t>
      </w:r>
      <w:r w:rsidR="00610A5E">
        <w:rPr>
          <w:b/>
          <w:bCs/>
        </w:rPr>
        <w:t>f Pharmacy</w:t>
      </w:r>
    </w:p>
    <w:p w14:paraId="73E8B1DC" w14:textId="77777777" w:rsidR="00CB5D14" w:rsidRDefault="00610A5E">
      <w:pPr>
        <w:pStyle w:val="center"/>
      </w:pPr>
      <w:r>
        <w:rPr>
          <w:b/>
          <w:bCs/>
        </w:rPr>
        <w:t>2021 changes to pharmacists initiating treatment</w:t>
      </w:r>
    </w:p>
    <w:p w14:paraId="40FC401B" w14:textId="77777777" w:rsidR="00CB5D14" w:rsidRDefault="00610A5E">
      <w:pPr>
        <w:pStyle w:val="vacno"/>
      </w:pPr>
      <w:r>
        <w:t xml:space="preserve">18VAC110-20-150. Physical standards for all pharmacies. </w:t>
      </w:r>
    </w:p>
    <w:p w14:paraId="283416F7" w14:textId="77777777" w:rsidR="00CB5D14" w:rsidRDefault="00610A5E">
      <w:pPr>
        <w:pStyle w:val="sectind"/>
      </w:pPr>
      <w:r>
        <w:t>A. The prescription department shall not be less than 240 square feet. The patient waiting area or the area used for counseling, devices, cosmetics, and proprietary medicines shall not be considered a part of the minimum 240 square feet. The total area shall be consistent with the size and scope of the services provided.</w:t>
      </w:r>
    </w:p>
    <w:p w14:paraId="7161BC52" w14:textId="77777777" w:rsidR="00CB5D14" w:rsidRDefault="00610A5E">
      <w:pPr>
        <w:pStyle w:val="sectind"/>
      </w:pPr>
      <w:r>
        <w:t>B. Access to stock rooms, rest rooms, and other areas other than an office that is exclusively used by the pharmacist shall not be through the prescription department. A rest room in the prescription department, used exclusively by pharmacists and personnel assisting with dispensing functions, may be allowed provided there is another rest room outside the prescription department available to other employees and the public. This subsection shall not apply to prescription departments in existence prior to November 4, 1993.</w:t>
      </w:r>
    </w:p>
    <w:p w14:paraId="4D8297A4" w14:textId="77777777" w:rsidR="00CB5D14" w:rsidRDefault="00610A5E">
      <w:pPr>
        <w:pStyle w:val="sectind"/>
      </w:pPr>
      <w:r>
        <w:t>C. The pharmacy shall be constructed of permanent and secure materials. Trailers or other moveable facilities or temporary construction shall not be permitted.</w:t>
      </w:r>
    </w:p>
    <w:p w14:paraId="2600402D" w14:textId="77777777" w:rsidR="00CB5D14" w:rsidRDefault="00610A5E">
      <w:pPr>
        <w:pStyle w:val="sectind"/>
      </w:pPr>
      <w:r>
        <w:t>D. The entire area of the location of the pharmacy practice, including all areas where drugs are stored, shall be well lighted and well ventilated; the proper storage temperature shall be maintained to meet USP-NF specifications for drug storage.</w:t>
      </w:r>
    </w:p>
    <w:p w14:paraId="72AAD0C4" w14:textId="77777777" w:rsidR="00CB5D14" w:rsidRDefault="00610A5E">
      <w:pPr>
        <w:pStyle w:val="sectind"/>
      </w:pPr>
      <w:r>
        <w:t>E. The prescription department counter work space shall be used only for the compounding and dispensing of drugs and necessary recordkeeping.</w:t>
      </w:r>
    </w:p>
    <w:p w14:paraId="1E17E7EA" w14:textId="77777777" w:rsidR="00CB5D14" w:rsidRDefault="00610A5E">
      <w:pPr>
        <w:pStyle w:val="sectind"/>
      </w:pPr>
      <w:r>
        <w:lastRenderedPageBreak/>
        <w:t>F. A sink with hot and cold running water shall be within the prescription department. A pharmacy issued a limited-use permit that does not stock prescription drugs as part of its operation is exempt from this requirement.</w:t>
      </w:r>
    </w:p>
    <w:p w14:paraId="1628C777" w14:textId="77777777" w:rsidR="00CB5D14" w:rsidRDefault="00610A5E">
      <w:pPr>
        <w:pStyle w:val="sectind"/>
      </w:pPr>
      <w:r>
        <w:t>G. Adequate refrigeration facilities equipped with a monitoring thermometer for the storage of drugs requiring cold storage temperature shall be maintained within the prescription department if the pharmacy stocks such drugs.</w:t>
      </w:r>
    </w:p>
    <w:p w14:paraId="3578D056" w14:textId="77777777" w:rsidR="00CB5D14" w:rsidRDefault="00610A5E">
      <w:pPr>
        <w:pStyle w:val="sectind"/>
      </w:pPr>
      <w:r>
        <w:t>H. A pharmacy stocking drugs requiring cold storage temperature shall record the temperature daily and adjust the thermostat as necessary to ensure an appropriate temperature range. The record shall be maintained manually or electronically for a period of two years.</w:t>
      </w:r>
    </w:p>
    <w:p w14:paraId="76DD3E3E" w14:textId="77777777" w:rsidR="00CB5D14" w:rsidRDefault="00610A5E">
      <w:pPr>
        <w:pStyle w:val="sectind"/>
      </w:pPr>
      <w:r>
        <w:rPr>
          <w:u w:val="single"/>
        </w:rPr>
        <w:t>I. The physical settings of a pharmacy in which a pharmacist initiates treatment with, dispenses, or administers drugs, devices, controlled paraphernalia, and other supplies and equipment pursuant to § 54.1-3303.1 of the Code of Virginia and 18VAC110-21-46 shall protect patient confidentiality and comply with the Health Insurance Portability and Accountability Act, 42 U.S.C. § 1320d et seq.</w:t>
      </w:r>
    </w:p>
    <w:p w14:paraId="20A9C9E9" w14:textId="77777777" w:rsidR="00CB5D14" w:rsidRDefault="00610A5E">
      <w:pPr>
        <w:pStyle w:val="vacno"/>
      </w:pPr>
      <w:r>
        <w:rPr>
          <w:u w:val="single"/>
        </w:rPr>
        <w:t xml:space="preserve">18VAC110-21-46. Initiation of treatment by a pharmacist. </w:t>
      </w:r>
    </w:p>
    <w:p w14:paraId="2CB3AD03" w14:textId="77777777" w:rsidR="00CB5D14" w:rsidRDefault="00610A5E">
      <w:pPr>
        <w:pStyle w:val="sectind"/>
      </w:pPr>
      <w:r>
        <w:rPr>
          <w:u w:val="single"/>
        </w:rPr>
        <w:t xml:space="preserve">A. Pursuant to § 54.1-3303.1 of the Code of Virginia, a pharmacist may initiate treatment with, dispense, or administer the following drugs, devices, controlled paraphernalia, and other supplies and equipment to persons 18 years of age or older: </w:t>
      </w:r>
    </w:p>
    <w:p w14:paraId="04011CDE" w14:textId="77777777" w:rsidR="00CB5D14" w:rsidRDefault="00610A5E">
      <w:pPr>
        <w:pStyle w:val="sectbi"/>
      </w:pPr>
      <w:r>
        <w:rPr>
          <w:u w:val="single"/>
        </w:rPr>
        <w:t xml:space="preserve">1. Naloxone or other opioid antagonist, including such controlled paraphernalia, as defined in § </w:t>
      </w:r>
      <w:hyperlink r:id="rId4" w:history="1">
        <w:r>
          <w:rPr>
            <w:rStyle w:val="Hyperlink"/>
            <w:b/>
            <w:bCs/>
          </w:rPr>
          <w:t>54.1-3466</w:t>
        </w:r>
      </w:hyperlink>
      <w:r>
        <w:rPr>
          <w:u w:val="single"/>
        </w:rPr>
        <w:t xml:space="preserve"> of the Code of Virginia, as may be necessary to administer such naloxone or other opioid antagonist;</w:t>
      </w:r>
    </w:p>
    <w:p w14:paraId="39BD1CC8" w14:textId="77777777" w:rsidR="00CB5D14" w:rsidRDefault="00610A5E">
      <w:pPr>
        <w:pStyle w:val="sectbi"/>
      </w:pPr>
      <w:r>
        <w:rPr>
          <w:u w:val="single"/>
        </w:rPr>
        <w:t>2. Epinephrine;</w:t>
      </w:r>
    </w:p>
    <w:p w14:paraId="2705FDF9" w14:textId="77777777" w:rsidR="00CB5D14" w:rsidRDefault="00610A5E">
      <w:pPr>
        <w:pStyle w:val="sectbi"/>
      </w:pPr>
      <w:r>
        <w:rPr>
          <w:u w:val="single"/>
        </w:rPr>
        <w:lastRenderedPageBreak/>
        <w:t>3. Injectable or self-administered hormonal contraceptives, provided the patient completes an assessment consistent with the United States Medical Eligibility Criteria for Contraceptive Use;</w:t>
      </w:r>
    </w:p>
    <w:p w14:paraId="2BED00B7" w14:textId="77777777" w:rsidR="00CB5D14" w:rsidRDefault="00610A5E">
      <w:pPr>
        <w:pStyle w:val="sectbi"/>
      </w:pPr>
      <w:r>
        <w:rPr>
          <w:u w:val="single"/>
        </w:rPr>
        <w:t>4. Prenatal vitamins for which a prescription is required;</w:t>
      </w:r>
    </w:p>
    <w:p w14:paraId="3E413C5B" w14:textId="77777777" w:rsidR="00CB5D14" w:rsidRDefault="00610A5E">
      <w:pPr>
        <w:pStyle w:val="sectbi"/>
      </w:pPr>
      <w:r>
        <w:rPr>
          <w:u w:val="single"/>
        </w:rPr>
        <w:t>5. Dietary fluoride supplements, in accordance with recommendations of the American Dental Association for prescribing of such supplements for persons whose drinking water has a fluoride content below the concentration recommended by the U.S. Department of Health and Human Services;</w:t>
      </w:r>
    </w:p>
    <w:p w14:paraId="67B53AA9" w14:textId="77777777" w:rsidR="00CB5D14" w:rsidRDefault="00610A5E">
      <w:pPr>
        <w:pStyle w:val="sectbi"/>
      </w:pPr>
      <w:r>
        <w:rPr>
          <w:u w:val="single"/>
        </w:rPr>
        <w:t>6. Drugs as defined in §54.1-3401, devices as defined in §54.1-3401, controlled paraphernalia as defined in §54.1-3466, and other supplies and equipment available over-the-counter, covered by the patient's health carrier when the patient's out-of-pocket cost is lower than the out-of-pocket cost to purchase an over-the-counter equivalent of the same drug, device, controlled paraphernalia, or other supplies or equipment;</w:t>
      </w:r>
    </w:p>
    <w:p w14:paraId="2E9849CD" w14:textId="77777777" w:rsidR="00CB5D14" w:rsidRDefault="00610A5E">
      <w:pPr>
        <w:pStyle w:val="sectbi"/>
      </w:pPr>
      <w:r>
        <w:rPr>
          <w:u w:val="single"/>
        </w:rPr>
        <w:t>7. Vaccines included on the Immunization Schedule published by the Centers for Disease Control and Prevention or that have a current emergency use authorization from the U.S. Food and Drug Administration;</w:t>
      </w:r>
    </w:p>
    <w:p w14:paraId="2354003C" w14:textId="77777777" w:rsidR="00CB5D14" w:rsidRDefault="00610A5E">
      <w:pPr>
        <w:pStyle w:val="sectbi"/>
      </w:pPr>
      <w:r>
        <w:rPr>
          <w:u w:val="single"/>
        </w:rPr>
        <w:t>8. Tuberculin purified protein derivative for tuberculosis testing; and</w:t>
      </w:r>
    </w:p>
    <w:p w14:paraId="6899D191" w14:textId="77777777" w:rsidR="00CB5D14" w:rsidRDefault="00610A5E">
      <w:pPr>
        <w:pStyle w:val="sectbi"/>
      </w:pPr>
      <w:r>
        <w:rPr>
          <w:u w:val="single"/>
        </w:rPr>
        <w:t>9. Controlled substances for the prevention of human immunodeficiency virus, including controlled substances prescribed for pre-exposure and post-exposure prophylaxis pursuant to guidelines and recommendations of the Centers for Disease Control and Prevention</w:t>
      </w:r>
      <w:r>
        <w:t>.</w:t>
      </w:r>
    </w:p>
    <w:p w14:paraId="7009845C" w14:textId="77777777" w:rsidR="00CB5D14" w:rsidRDefault="00610A5E">
      <w:pPr>
        <w:pStyle w:val="sectind"/>
      </w:pPr>
      <w:r>
        <w:rPr>
          <w:u w:val="single"/>
        </w:rPr>
        <w:t xml:space="preserve">B. Pharmacists who initiate treatment with, dispense, or administer a </w:t>
      </w:r>
      <w:proofErr w:type="gramStart"/>
      <w:r>
        <w:rPr>
          <w:u w:val="single"/>
        </w:rPr>
        <w:t>drug ,device</w:t>
      </w:r>
      <w:proofErr w:type="gramEnd"/>
      <w:r>
        <w:rPr>
          <w:u w:val="single"/>
        </w:rPr>
        <w:t>, controlled paraphernalia, or other supplies or equipment pursuant to subsection A shall:</w:t>
      </w:r>
    </w:p>
    <w:p w14:paraId="3827B1B6" w14:textId="77777777" w:rsidR="00CB5D14" w:rsidRDefault="00610A5E">
      <w:pPr>
        <w:pStyle w:val="sectbi"/>
      </w:pPr>
      <w:r>
        <w:rPr>
          <w:u w:val="single"/>
        </w:rPr>
        <w:lastRenderedPageBreak/>
        <w:t>1. Follow the statewide protocol adopted by the board for each drug, device, controlled paraphernalia, or other supplies or equipment.</w:t>
      </w:r>
    </w:p>
    <w:p w14:paraId="65D9695C" w14:textId="77777777" w:rsidR="00CB5D14" w:rsidRDefault="00610A5E">
      <w:pPr>
        <w:pStyle w:val="sectbi"/>
      </w:pPr>
      <w:r>
        <w:rPr>
          <w:u w:val="single"/>
        </w:rPr>
        <w:t>2. Notify the patient's primary health care provider that treatment has been initiated with such drug or device or that such drug or device has been dispensed or administered to the patient, provided that the patient consents to such notification. If the patient does not have a primary health care provider, the pharmacist shall counsel the patient regarding the benefits of establishing a relationship with a primary health care provider and, upon request, provide information regarding primary health care providers, including federally qualified health centers, free clinics, or local health departments serving the area in which the patient is located. If the pharmacist is initiating treatment with, dispensing, or administering injectable or self-administered hormonal contraceptives, the pharmacist shall counsel the patient regarding seeking preventative care, including (i) routine well-woman visits, (ii) testing for sexually transmitted infections, and (iii) pap smears. If the pharmacist is administering a vaccine pursuant to this section, the pharmacist shall report such administration to the Virginia Immunization Information System in accordance with the requirements of §32.1-46.01.</w:t>
      </w:r>
    </w:p>
    <w:p w14:paraId="60ABCAE2" w14:textId="77777777" w:rsidR="00CB5D14" w:rsidRDefault="00610A5E">
      <w:pPr>
        <w:pStyle w:val="sectbi"/>
      </w:pPr>
      <w:r>
        <w:rPr>
          <w:u w:val="single"/>
        </w:rPr>
        <w:t>3.</w:t>
      </w:r>
      <w:r>
        <w:rPr>
          <w:b/>
          <w:bCs/>
          <w:u w:val="single"/>
        </w:rPr>
        <w:t xml:space="preserve"> </w:t>
      </w:r>
      <w:r>
        <w:rPr>
          <w:u w:val="single"/>
        </w:rPr>
        <w:t xml:space="preserve">Maintain a patient record for a minimum of six years following the last patient encounter with the following exceptions: </w:t>
      </w:r>
    </w:p>
    <w:p w14:paraId="39931F7C" w14:textId="77777777" w:rsidR="00CB5D14" w:rsidRDefault="00610A5E">
      <w:pPr>
        <w:pStyle w:val="sectbi2"/>
      </w:pPr>
      <w:r>
        <w:rPr>
          <w:u w:val="single"/>
        </w:rPr>
        <w:t xml:space="preserve">a. Records that have previously been transferred to another practitioner or health care provider or provided to the patient or the patient's personal representative; or </w:t>
      </w:r>
    </w:p>
    <w:p w14:paraId="5C2BBAA7" w14:textId="77777777" w:rsidR="00CB5D14" w:rsidRDefault="00610A5E">
      <w:pPr>
        <w:pStyle w:val="sectbi2"/>
      </w:pPr>
      <w:r>
        <w:rPr>
          <w:u w:val="single"/>
        </w:rPr>
        <w:t xml:space="preserve">b. Records that are required by contractual obligation or federal law to be maintained for a longer period of time. </w:t>
      </w:r>
    </w:p>
    <w:p w14:paraId="14A47402" w14:textId="77777777" w:rsidR="00CB5D14" w:rsidRDefault="00610A5E">
      <w:pPr>
        <w:pStyle w:val="sectbi"/>
      </w:pPr>
      <w:r>
        <w:rPr>
          <w:u w:val="single"/>
        </w:rPr>
        <w:t>4. Perform the activities in a manner that protects patient confidentiality and complies with the Health Insurance Portability and Accountability Act, 42 U.S.C. § 1320d et seq.</w:t>
      </w:r>
    </w:p>
    <w:sectPr w:rsidR="00CB5D1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63"/>
    <w:rsid w:val="00412D63"/>
    <w:rsid w:val="00610A5E"/>
    <w:rsid w:val="00925553"/>
    <w:rsid w:val="00A84B43"/>
    <w:rsid w:val="00AF5DCB"/>
    <w:rsid w:val="00CB5D14"/>
    <w:rsid w:val="00FA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B4C3"/>
  <w15:docId w15:val="{18566743-D84F-4BD6-87A1-DC888DC3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pPr>
      <w:keepNext/>
      <w:autoSpaceDE w:val="0"/>
      <w:autoSpaceDN w:val="0"/>
      <w:spacing w:before="120" w:after="0" w:line="480" w:lineRule="auto"/>
      <w:jc w:val="center"/>
    </w:pPr>
    <w:rPr>
      <w:rFonts w:ascii="Arial" w:hAnsi="Arial" w:cs="Arial"/>
    </w:rPr>
  </w:style>
  <w:style w:type="paragraph" w:customStyle="1" w:styleId="textbl">
    <w:name w:val="textbl"/>
    <w:basedOn w:val="Normal"/>
    <w:pPr>
      <w:autoSpaceDE w:val="0"/>
      <w:autoSpaceDN w:val="0"/>
      <w:spacing w:before="120" w:after="0" w:line="480" w:lineRule="auto"/>
      <w:jc w:val="both"/>
    </w:pPr>
    <w:rPr>
      <w:rFonts w:ascii="Arial" w:hAnsi="Arial" w:cs="Arial"/>
    </w:rPr>
  </w:style>
  <w:style w:type="paragraph" w:customStyle="1" w:styleId="sectbi">
    <w:name w:val="sectbi"/>
    <w:basedOn w:val="Normal"/>
    <w:pPr>
      <w:autoSpaceDE w:val="0"/>
      <w:autoSpaceDN w:val="0"/>
      <w:spacing w:before="120" w:after="0" w:line="480" w:lineRule="auto"/>
      <w:ind w:left="720"/>
      <w:jc w:val="both"/>
    </w:pPr>
    <w:rPr>
      <w:rFonts w:ascii="Arial" w:hAnsi="Arial" w:cs="Arial"/>
    </w:rPr>
  </w:style>
  <w:style w:type="paragraph" w:customStyle="1" w:styleId="sectbi2">
    <w:name w:val="sectbi2"/>
    <w:basedOn w:val="Normal"/>
    <w:pPr>
      <w:autoSpaceDE w:val="0"/>
      <w:autoSpaceDN w:val="0"/>
      <w:spacing w:before="120" w:after="0" w:line="480" w:lineRule="auto"/>
      <w:ind w:left="1080"/>
      <w:jc w:val="both"/>
    </w:pPr>
    <w:rPr>
      <w:rFonts w:ascii="Arial" w:hAnsi="Arial" w:cs="Arial"/>
    </w:rPr>
  </w:style>
  <w:style w:type="paragraph" w:customStyle="1" w:styleId="sectind">
    <w:name w:val="sectind"/>
    <w:basedOn w:val="Normal"/>
    <w:pPr>
      <w:autoSpaceDE w:val="0"/>
      <w:autoSpaceDN w:val="0"/>
      <w:spacing w:before="120" w:after="0" w:line="480" w:lineRule="auto"/>
      <w:ind w:firstLine="360"/>
      <w:jc w:val="both"/>
    </w:pPr>
    <w:rPr>
      <w:rFonts w:ascii="Arial" w:hAnsi="Arial" w:cs="Arial"/>
    </w:rPr>
  </w:style>
  <w:style w:type="paragraph" w:customStyle="1" w:styleId="vacno">
    <w:name w:val="vacno"/>
    <w:basedOn w:val="Normal"/>
    <w:pPr>
      <w:keepNext/>
      <w:autoSpaceDE w:val="0"/>
      <w:autoSpaceDN w:val="0"/>
      <w:spacing w:before="120" w:after="0" w:line="480" w:lineRule="auto"/>
      <w:jc w:val="both"/>
    </w:pPr>
    <w:rPr>
      <w:rFonts w:ascii="Arial" w:hAnsi="Arial" w:cs="Arial"/>
      <w:b/>
      <w:bCs/>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w.lis.virginia.gov/vacode/54.1-3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Yeatts, Elaine J. (DHP)</dc:creator>
  <cp:lastModifiedBy>Erin Barrett</cp:lastModifiedBy>
  <cp:revision>3</cp:revision>
  <dcterms:created xsi:type="dcterms:W3CDTF">2022-09-15T17:59:00Z</dcterms:created>
  <dcterms:modified xsi:type="dcterms:W3CDTF">2023-03-16T12:30:00Z</dcterms:modified>
</cp:coreProperties>
</file>