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38" w:rsidRPr="003D014E" w:rsidRDefault="00936138" w:rsidP="00F96F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F30" w:rsidRPr="003D014E" w:rsidRDefault="00F96F89" w:rsidP="00F96F89">
      <w:pPr>
        <w:jc w:val="center"/>
        <w:rPr>
          <w:rFonts w:ascii="Times New Roman" w:hAnsi="Times New Roman"/>
          <w:b/>
          <w:sz w:val="28"/>
          <w:szCs w:val="28"/>
        </w:rPr>
      </w:pPr>
      <w:r w:rsidRPr="003D014E">
        <w:rPr>
          <w:rFonts w:ascii="Times New Roman" w:hAnsi="Times New Roman"/>
          <w:b/>
          <w:sz w:val="28"/>
          <w:szCs w:val="28"/>
        </w:rPr>
        <w:t>Board of Funeral Directors and Embalmers</w:t>
      </w:r>
    </w:p>
    <w:p w:rsidR="00C9794E" w:rsidRPr="003D014E" w:rsidRDefault="00C9794E" w:rsidP="00C9794E">
      <w:pPr>
        <w:pStyle w:val="NormalWeb"/>
        <w:jc w:val="center"/>
      </w:pPr>
      <w:r w:rsidRPr="003D014E">
        <w:rPr>
          <w:b/>
        </w:rPr>
        <w:t>CONFIDENTIAL CONSENT AGREEMENTS</w:t>
      </w:r>
    </w:p>
    <w:p w:rsidR="00C9794E" w:rsidRPr="003D014E" w:rsidRDefault="00C9794E" w:rsidP="00C9794E">
      <w:pPr>
        <w:pStyle w:val="NormalWeb"/>
      </w:pPr>
      <w:r w:rsidRPr="003D014E">
        <w:tab/>
      </w:r>
      <w:r w:rsidR="006D1AB9">
        <w:t xml:space="preserve">Virginia Code § 54.1-2400(14) </w:t>
      </w:r>
      <w:r w:rsidRPr="003D014E">
        <w:t xml:space="preserve">authorizes the health regulatory boards to resolve certain allegations of practitioner misconduct by means of a </w:t>
      </w:r>
      <w:r w:rsidRPr="003D014E">
        <w:rPr>
          <w:i/>
        </w:rPr>
        <w:t>Confidential Consent Agreement (“CCA”)</w:t>
      </w:r>
      <w:r w:rsidRPr="003D014E">
        <w:t xml:space="preserve">.  This agreement may be used by a board in lieu of public discipline, but only in cases involving minor misconduct, where there is little or no injury to a patient or the public, and little likelihood of repetition by the practitioner.  </w:t>
      </w:r>
    </w:p>
    <w:p w:rsidR="00C9794E" w:rsidRPr="003D014E" w:rsidRDefault="00C9794E" w:rsidP="00C9794E">
      <w:pPr>
        <w:pStyle w:val="NormalWeb"/>
      </w:pPr>
      <w:r w:rsidRPr="003D014E">
        <w:tab/>
        <w:t>A CCA shall not be used if the board determines there is probable cause to believe the practitioner has (</w:t>
      </w:r>
      <w:proofErr w:type="spellStart"/>
      <w:r w:rsidRPr="003D014E">
        <w:t>i</w:t>
      </w:r>
      <w:proofErr w:type="spellEnd"/>
      <w:r w:rsidRPr="003D014E">
        <w:t>) demonstrated gross negligence or intentional misconduct in the care of patients, or (ii) conducted his/her practice in</w:t>
      </w:r>
      <w:r w:rsidR="002418EF" w:rsidRPr="003D014E">
        <w:t xml:space="preserve"> such</w:t>
      </w:r>
      <w:r w:rsidRPr="003D014E">
        <w:t xml:space="preserve"> a manner as to be a danger to </w:t>
      </w:r>
      <w:r w:rsidR="002418EF" w:rsidRPr="003D014E">
        <w:t>the health and welfare of</w:t>
      </w:r>
      <w:r w:rsidR="002418EF" w:rsidRPr="003D014E">
        <w:rPr>
          <w:i/>
        </w:rPr>
        <w:t xml:space="preserve"> </w:t>
      </w:r>
      <w:r w:rsidRPr="003D014E">
        <w:t>patients or the public</w:t>
      </w:r>
      <w:r w:rsidRPr="003D014E">
        <w:rPr>
          <w:i/>
          <w:iCs/>
        </w:rPr>
        <w:t>.</w:t>
      </w:r>
      <w:r w:rsidRPr="003D014E">
        <w:t xml:space="preserve">  </w:t>
      </w:r>
    </w:p>
    <w:p w:rsidR="00C9794E" w:rsidRPr="003D014E" w:rsidRDefault="00C9794E" w:rsidP="00C9794E">
      <w:pPr>
        <w:pStyle w:val="NormalWeb"/>
        <w:rPr>
          <w:iCs/>
        </w:rPr>
      </w:pPr>
      <w:r w:rsidRPr="003D014E">
        <w:rPr>
          <w:iCs/>
        </w:rPr>
        <w:tab/>
        <w:t xml:space="preserve">A CCA shall be considered neither a notice nor an order of a health regulatory board, both of which are public documents.  The acceptance and content of a CCA shall not be disclosed by either the board or the practitioner who is the subject of the agreement.  </w:t>
      </w:r>
    </w:p>
    <w:p w:rsidR="00B04EFB" w:rsidRPr="003D014E" w:rsidRDefault="00B04EFB" w:rsidP="00B04EFB">
      <w:pPr>
        <w:ind w:firstLine="720"/>
        <w:rPr>
          <w:rFonts w:ascii="Times New Roman" w:hAnsi="Times New Roman"/>
        </w:rPr>
      </w:pPr>
      <w:r w:rsidRPr="003D014E">
        <w:rPr>
          <w:rFonts w:ascii="Times New Roman" w:hAnsi="Times New Roman"/>
          <w:iCs/>
        </w:rPr>
        <w:t>A CCA</w:t>
      </w:r>
      <w:r w:rsidRPr="003D014E">
        <w:rPr>
          <w:rFonts w:ascii="Times New Roman" w:hAnsi="Times New Roman"/>
        </w:rPr>
        <w:t xml:space="preserve"> may be offered and accepted any time prior to the issuance of a notice of informal conference by the board.  </w:t>
      </w:r>
      <w:r w:rsidRPr="003D014E">
        <w:rPr>
          <w:rFonts w:ascii="Times New Roman" w:hAnsi="Times New Roman"/>
          <w:iCs/>
        </w:rPr>
        <w:t>By law, the agreement document must</w:t>
      </w:r>
      <w:r w:rsidRPr="003D014E">
        <w:rPr>
          <w:rFonts w:ascii="Times New Roman" w:hAnsi="Times New Roman"/>
        </w:rPr>
        <w:t xml:space="preserve"> include findings of fact and may include an admission or a finding of a violation.  The entry of a CCA in the past may be considered </w:t>
      </w:r>
      <w:r w:rsidR="002D1AAA" w:rsidRPr="003D014E">
        <w:rPr>
          <w:rFonts w:ascii="Times New Roman" w:hAnsi="Times New Roman"/>
        </w:rPr>
        <w:t>by board in future disciplinary proceedings</w:t>
      </w:r>
      <w:r w:rsidRPr="003D014E">
        <w:rPr>
          <w:rFonts w:ascii="Times New Roman" w:hAnsi="Times New Roman"/>
        </w:rPr>
        <w:t xml:space="preserve">.  </w:t>
      </w:r>
      <w:r w:rsidRPr="003D014E">
        <w:rPr>
          <w:rFonts w:ascii="Times New Roman" w:hAnsi="Times New Roman"/>
          <w:iCs/>
        </w:rPr>
        <w:t>A practitioner may only enter into only two confidential consent agreements involving a standard of care violation within a 10-year period.  The practitioner shall receive public discipline for any subsequent violation within the 10-year period, unless the board finds there are sufficient facts and circumstances to rebut the presumption that such further disciplinary action should be made public</w:t>
      </w:r>
      <w:r w:rsidRPr="003D014E">
        <w:rPr>
          <w:rFonts w:ascii="Times New Roman" w:hAnsi="Times New Roman"/>
          <w:i/>
          <w:iCs/>
        </w:rPr>
        <w:t>.</w:t>
      </w:r>
    </w:p>
    <w:p w:rsidR="009F44F5" w:rsidRPr="003D014E" w:rsidRDefault="009F44F5" w:rsidP="00BC39BA">
      <w:pPr>
        <w:jc w:val="center"/>
        <w:rPr>
          <w:rFonts w:ascii="Times New Roman" w:hAnsi="Times New Roman"/>
          <w:b/>
        </w:rPr>
      </w:pPr>
    </w:p>
    <w:p w:rsidR="009F44F5" w:rsidRPr="003D014E" w:rsidRDefault="00936138" w:rsidP="000A1DC0">
      <w:pPr>
        <w:ind w:firstLine="720"/>
        <w:rPr>
          <w:rFonts w:ascii="Times New Roman" w:hAnsi="Times New Roman"/>
          <w:b/>
        </w:rPr>
      </w:pPr>
      <w:r w:rsidRPr="003D014E">
        <w:rPr>
          <w:rFonts w:ascii="Times New Roman" w:hAnsi="Times New Roman"/>
          <w:b/>
        </w:rPr>
        <w:t>V</w:t>
      </w:r>
      <w:r w:rsidR="000A1DC0" w:rsidRPr="003D014E">
        <w:rPr>
          <w:rFonts w:ascii="Times New Roman" w:hAnsi="Times New Roman"/>
          <w:b/>
        </w:rPr>
        <w:t xml:space="preserve">iolations of regulation or statute </w:t>
      </w:r>
      <w:r w:rsidRPr="003D014E">
        <w:rPr>
          <w:rFonts w:ascii="Times New Roman" w:hAnsi="Times New Roman"/>
          <w:b/>
        </w:rPr>
        <w:t xml:space="preserve">that </w:t>
      </w:r>
      <w:r w:rsidR="000A1DC0" w:rsidRPr="003D014E">
        <w:rPr>
          <w:rFonts w:ascii="Times New Roman" w:hAnsi="Times New Roman"/>
          <w:b/>
        </w:rPr>
        <w:t>may qualify for resolution by a Confidential Consent Agreement</w:t>
      </w:r>
      <w:r w:rsidRPr="003D014E">
        <w:rPr>
          <w:rFonts w:ascii="Times New Roman" w:hAnsi="Times New Roman"/>
          <w:b/>
        </w:rPr>
        <w:t xml:space="preserve"> include, but are not limited to</w:t>
      </w:r>
      <w:r w:rsidR="000A1DC0" w:rsidRPr="003D014E">
        <w:rPr>
          <w:rFonts w:ascii="Times New Roman" w:hAnsi="Times New Roman"/>
          <w:b/>
        </w:rPr>
        <w:t xml:space="preserve">: </w:t>
      </w:r>
    </w:p>
    <w:p w:rsidR="00F865B1" w:rsidRPr="003D014E" w:rsidRDefault="00F865B1" w:rsidP="009F44F5">
      <w:pPr>
        <w:ind w:left="360"/>
        <w:jc w:val="both"/>
        <w:rPr>
          <w:rFonts w:ascii="Times New Roman" w:hAnsi="Times New Roman"/>
        </w:rPr>
      </w:pPr>
    </w:p>
    <w:p w:rsidR="006D6F30" w:rsidRPr="003D014E" w:rsidRDefault="001B73B0" w:rsidP="006D6F30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D014E">
        <w:rPr>
          <w:rFonts w:ascii="Times New Roman" w:hAnsi="Times New Roman"/>
        </w:rPr>
        <w:t>Failure</w:t>
      </w:r>
      <w:r w:rsidR="006D6F30" w:rsidRPr="003D014E">
        <w:rPr>
          <w:rFonts w:ascii="Times New Roman" w:hAnsi="Times New Roman"/>
        </w:rPr>
        <w:t xml:space="preserve"> to notify the Board of change of manager within </w:t>
      </w:r>
      <w:r w:rsidR="00483C72" w:rsidRPr="003D014E">
        <w:rPr>
          <w:rFonts w:ascii="Times New Roman" w:hAnsi="Times New Roman"/>
        </w:rPr>
        <w:t>14 days of change (18VAC65-20-60).</w:t>
      </w:r>
    </w:p>
    <w:p w:rsidR="009A5B32" w:rsidRPr="003D014E" w:rsidRDefault="001B73B0" w:rsidP="009A5B32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D014E">
        <w:rPr>
          <w:rFonts w:ascii="Times New Roman" w:hAnsi="Times New Roman"/>
        </w:rPr>
        <w:t>Failure</w:t>
      </w:r>
      <w:r w:rsidR="006D6F30" w:rsidRPr="003D014E">
        <w:rPr>
          <w:rFonts w:ascii="Times New Roman" w:hAnsi="Times New Roman"/>
        </w:rPr>
        <w:t xml:space="preserve"> to obtain </w:t>
      </w:r>
      <w:r w:rsidR="00483C72" w:rsidRPr="003D014E">
        <w:rPr>
          <w:rFonts w:ascii="Times New Roman" w:hAnsi="Times New Roman"/>
        </w:rPr>
        <w:t xml:space="preserve">required continuing education credit </w:t>
      </w:r>
      <w:r w:rsidR="002418EF" w:rsidRPr="003D014E">
        <w:rPr>
          <w:rFonts w:ascii="Times New Roman" w:hAnsi="Times New Roman"/>
        </w:rPr>
        <w:t>hours</w:t>
      </w:r>
      <w:r w:rsidR="002418EF" w:rsidRPr="003D014E">
        <w:rPr>
          <w:rFonts w:ascii="Times New Roman" w:hAnsi="Times New Roman"/>
          <w:i/>
        </w:rPr>
        <w:t xml:space="preserve"> </w:t>
      </w:r>
      <w:r w:rsidR="006D6F30" w:rsidRPr="003D014E">
        <w:rPr>
          <w:rFonts w:ascii="Times New Roman" w:hAnsi="Times New Roman"/>
        </w:rPr>
        <w:t xml:space="preserve">within </w:t>
      </w:r>
      <w:r w:rsidR="002418EF" w:rsidRPr="003D014E">
        <w:rPr>
          <w:rFonts w:ascii="Times New Roman" w:hAnsi="Times New Roman"/>
        </w:rPr>
        <w:t>the</w:t>
      </w:r>
      <w:r w:rsidR="002418EF" w:rsidRPr="003D014E">
        <w:rPr>
          <w:rFonts w:ascii="Times New Roman" w:hAnsi="Times New Roman"/>
          <w:i/>
        </w:rPr>
        <w:t xml:space="preserve"> </w:t>
      </w:r>
      <w:r w:rsidR="006D6F30" w:rsidRPr="003D014E">
        <w:rPr>
          <w:rFonts w:ascii="Times New Roman" w:hAnsi="Times New Roman"/>
        </w:rPr>
        <w:t>renewal</w:t>
      </w:r>
      <w:r w:rsidR="00483C72" w:rsidRPr="003D014E">
        <w:rPr>
          <w:rFonts w:ascii="Times New Roman" w:hAnsi="Times New Roman"/>
        </w:rPr>
        <w:t xml:space="preserve"> period</w:t>
      </w:r>
      <w:r w:rsidR="006D6F30" w:rsidRPr="003D014E">
        <w:rPr>
          <w:rFonts w:ascii="Times New Roman" w:hAnsi="Times New Roman"/>
        </w:rPr>
        <w:t xml:space="preserve"> without </w:t>
      </w:r>
      <w:r w:rsidR="009A5B32" w:rsidRPr="003D014E">
        <w:rPr>
          <w:rFonts w:ascii="Times New Roman" w:hAnsi="Times New Roman"/>
        </w:rPr>
        <w:t xml:space="preserve">a Board-approved </w:t>
      </w:r>
      <w:r w:rsidR="002418EF" w:rsidRPr="003D014E">
        <w:rPr>
          <w:rFonts w:ascii="Times New Roman" w:hAnsi="Times New Roman"/>
        </w:rPr>
        <w:t>exemption or extension</w:t>
      </w:r>
      <w:r w:rsidR="009A5B32" w:rsidRPr="003D014E">
        <w:rPr>
          <w:rFonts w:ascii="Times New Roman" w:hAnsi="Times New Roman"/>
          <w:i/>
        </w:rPr>
        <w:t xml:space="preserve">, </w:t>
      </w:r>
      <w:r w:rsidR="009A5B32" w:rsidRPr="003D014E">
        <w:rPr>
          <w:rFonts w:ascii="Times New Roman" w:hAnsi="Times New Roman"/>
        </w:rPr>
        <w:t>except in</w:t>
      </w:r>
      <w:r w:rsidR="009A5B32" w:rsidRPr="003D014E">
        <w:rPr>
          <w:rFonts w:ascii="Times New Roman" w:hAnsi="Times New Roman"/>
          <w:i/>
        </w:rPr>
        <w:t xml:space="preserve"> </w:t>
      </w:r>
      <w:r w:rsidR="009A5B32" w:rsidRPr="003D014E">
        <w:rPr>
          <w:rFonts w:ascii="Times New Roman" w:hAnsi="Times New Roman"/>
        </w:rPr>
        <w:t>instances where a licensee is found to have untruthfully reported compliance.</w:t>
      </w:r>
    </w:p>
    <w:p w:rsidR="006D6F30" w:rsidRPr="003D014E" w:rsidRDefault="001B73B0" w:rsidP="006D6F30">
      <w:pPr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3D014E">
        <w:rPr>
          <w:rFonts w:ascii="Times New Roman" w:hAnsi="Times New Roman"/>
        </w:rPr>
        <w:t>Failure</w:t>
      </w:r>
      <w:r w:rsidR="006D6F30" w:rsidRPr="003D014E">
        <w:rPr>
          <w:rFonts w:ascii="Times New Roman" w:hAnsi="Times New Roman"/>
        </w:rPr>
        <w:t xml:space="preserve"> to provide Q&amp;A</w:t>
      </w:r>
      <w:r w:rsidR="00483C72" w:rsidRPr="003D014E">
        <w:rPr>
          <w:rFonts w:ascii="Times New Roman" w:hAnsi="Times New Roman"/>
        </w:rPr>
        <w:t xml:space="preserve"> disclosures</w:t>
      </w:r>
      <w:r w:rsidR="006D6F30" w:rsidRPr="003D014E">
        <w:rPr>
          <w:rFonts w:ascii="Times New Roman" w:hAnsi="Times New Roman"/>
        </w:rPr>
        <w:t xml:space="preserve"> to buyer as part of preneed contract</w:t>
      </w:r>
      <w:r w:rsidR="00483C72" w:rsidRPr="003D014E">
        <w:rPr>
          <w:rFonts w:ascii="Times New Roman" w:hAnsi="Times New Roman"/>
        </w:rPr>
        <w:t>.</w:t>
      </w:r>
    </w:p>
    <w:p w:rsidR="006D6F30" w:rsidRPr="003D014E" w:rsidRDefault="001B73B0" w:rsidP="006D6F30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D014E">
        <w:rPr>
          <w:rFonts w:ascii="Times New Roman" w:hAnsi="Times New Roman"/>
        </w:rPr>
        <w:t>Failure</w:t>
      </w:r>
      <w:r w:rsidR="00483C72" w:rsidRPr="003D014E">
        <w:rPr>
          <w:rFonts w:ascii="Times New Roman" w:hAnsi="Times New Roman"/>
        </w:rPr>
        <w:t xml:space="preserve"> of intern</w:t>
      </w:r>
      <w:r w:rsidR="006D6F30" w:rsidRPr="003D014E">
        <w:rPr>
          <w:rFonts w:ascii="Times New Roman" w:hAnsi="Times New Roman"/>
        </w:rPr>
        <w:t xml:space="preserve"> to notify Board of change of supervisor and/or training site</w:t>
      </w:r>
      <w:r w:rsidR="00483C72" w:rsidRPr="003D014E">
        <w:rPr>
          <w:rFonts w:ascii="Times New Roman" w:hAnsi="Times New Roman"/>
        </w:rPr>
        <w:t>.</w:t>
      </w:r>
    </w:p>
    <w:p w:rsidR="00936138" w:rsidRPr="003D014E" w:rsidRDefault="00936138" w:rsidP="006D6F30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D014E">
        <w:rPr>
          <w:rFonts w:ascii="Times New Roman" w:hAnsi="Times New Roman"/>
        </w:rPr>
        <w:t xml:space="preserve">Failure to post licenses as required by </w:t>
      </w:r>
      <w:bookmarkStart w:id="1" w:name="_Toc367345146"/>
      <w:r w:rsidRPr="003D014E">
        <w:rPr>
          <w:rFonts w:ascii="Times New Roman" w:hAnsi="Times New Roman"/>
        </w:rPr>
        <w:t>18VAC65-20-50</w:t>
      </w:r>
      <w:bookmarkEnd w:id="1"/>
      <w:r w:rsidR="003431AE" w:rsidRPr="003D014E">
        <w:rPr>
          <w:rFonts w:ascii="Times New Roman" w:hAnsi="Times New Roman"/>
        </w:rPr>
        <w:t>.</w:t>
      </w:r>
    </w:p>
    <w:p w:rsidR="00936138" w:rsidRPr="003D014E" w:rsidRDefault="00936138" w:rsidP="00936138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3D014E">
        <w:rPr>
          <w:rFonts w:ascii="Times New Roman" w:hAnsi="Times New Roman"/>
        </w:rPr>
        <w:t>Inadvertent breach of confidentiality</w:t>
      </w:r>
      <w:r w:rsidR="003431AE" w:rsidRPr="003D014E">
        <w:rPr>
          <w:rFonts w:ascii="Times New Roman" w:hAnsi="Times New Roman"/>
        </w:rPr>
        <w:t>.</w:t>
      </w:r>
    </w:p>
    <w:p w:rsidR="00936138" w:rsidRPr="003D014E" w:rsidRDefault="00936138" w:rsidP="00936138">
      <w:pPr>
        <w:ind w:left="1080"/>
        <w:jc w:val="both"/>
        <w:rPr>
          <w:rFonts w:ascii="Times New Roman" w:hAnsi="Times New Roman"/>
        </w:rPr>
      </w:pPr>
    </w:p>
    <w:p w:rsidR="002418EF" w:rsidRPr="003D014E" w:rsidRDefault="002418EF" w:rsidP="00713BFF">
      <w:pPr>
        <w:ind w:left="1080"/>
        <w:jc w:val="both"/>
        <w:rPr>
          <w:rFonts w:ascii="Times New Roman" w:hAnsi="Times New Roman"/>
          <w:strike/>
        </w:rPr>
      </w:pPr>
    </w:p>
    <w:sectPr w:rsidR="002418EF" w:rsidRPr="003D014E" w:rsidSect="00F226F5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36" w:rsidRDefault="00253E36">
      <w:r>
        <w:separator/>
      </w:r>
    </w:p>
  </w:endnote>
  <w:endnote w:type="continuationSeparator" w:id="0">
    <w:p w:rsidR="00253E36" w:rsidRDefault="002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36" w:rsidRDefault="00253E36">
      <w:r>
        <w:separator/>
      </w:r>
    </w:p>
  </w:footnote>
  <w:footnote w:type="continuationSeparator" w:id="0">
    <w:p w:rsidR="00253E36" w:rsidRDefault="002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22" w:rsidRDefault="00936138">
    <w:pPr>
      <w:pStyle w:val="Header"/>
      <w:rPr>
        <w:rFonts w:ascii="Times New Roman" w:hAnsi="Times New Roman"/>
      </w:rPr>
    </w:pPr>
    <w:r w:rsidRPr="00936138">
      <w:rPr>
        <w:rFonts w:ascii="Times New Roman" w:hAnsi="Times New Roman"/>
      </w:rPr>
      <w:t>Guidance document:  65-12</w:t>
    </w:r>
    <w:r w:rsidRPr="00936138">
      <w:rPr>
        <w:rFonts w:ascii="Times New Roman" w:hAnsi="Times New Roman"/>
      </w:rPr>
      <w:tab/>
    </w:r>
    <w:r w:rsidRPr="00936138">
      <w:rPr>
        <w:rFonts w:ascii="Times New Roman" w:hAnsi="Times New Roman"/>
      </w:rPr>
      <w:tab/>
      <w:t xml:space="preserve">Revised:  </w:t>
    </w:r>
    <w:r w:rsidR="006D1AB9">
      <w:rPr>
        <w:rFonts w:ascii="Times New Roman" w:hAnsi="Times New Roman"/>
      </w:rPr>
      <w:t>October 12, 2021</w:t>
    </w:r>
  </w:p>
  <w:p w:rsidR="006D1AB9" w:rsidRDefault="006D1AB9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Effective: December 9, 2021</w:t>
    </w:r>
  </w:p>
  <w:p w:rsidR="00936138" w:rsidRDefault="00936138">
    <w:pPr>
      <w:pStyle w:val="Header"/>
      <w:rPr>
        <w:rFonts w:ascii="Times New Roman" w:hAnsi="Times New Roman"/>
      </w:rPr>
    </w:pPr>
  </w:p>
  <w:p w:rsidR="00936138" w:rsidRPr="00936138" w:rsidRDefault="0093613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8C5"/>
    <w:multiLevelType w:val="hybridMultilevel"/>
    <w:tmpl w:val="AC98C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5054"/>
    <w:multiLevelType w:val="hybridMultilevel"/>
    <w:tmpl w:val="E6981B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0A0098"/>
    <w:multiLevelType w:val="hybridMultilevel"/>
    <w:tmpl w:val="DB68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007F"/>
    <w:multiLevelType w:val="hybridMultilevel"/>
    <w:tmpl w:val="70E81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F"/>
    <w:rsid w:val="000A1DC0"/>
    <w:rsid w:val="000C2E0F"/>
    <w:rsid w:val="0013147B"/>
    <w:rsid w:val="001B73B0"/>
    <w:rsid w:val="002418EF"/>
    <w:rsid w:val="00246094"/>
    <w:rsid w:val="00253E36"/>
    <w:rsid w:val="00290662"/>
    <w:rsid w:val="002D1AAA"/>
    <w:rsid w:val="002D54F5"/>
    <w:rsid w:val="00302CDE"/>
    <w:rsid w:val="003431AE"/>
    <w:rsid w:val="00373007"/>
    <w:rsid w:val="00384064"/>
    <w:rsid w:val="003A336C"/>
    <w:rsid w:val="003A7773"/>
    <w:rsid w:val="003D014E"/>
    <w:rsid w:val="003E46B3"/>
    <w:rsid w:val="00410A3E"/>
    <w:rsid w:val="00425BD1"/>
    <w:rsid w:val="00432BF8"/>
    <w:rsid w:val="00483C72"/>
    <w:rsid w:val="004A65FA"/>
    <w:rsid w:val="004E5AE3"/>
    <w:rsid w:val="005741AA"/>
    <w:rsid w:val="0068034D"/>
    <w:rsid w:val="006B0A22"/>
    <w:rsid w:val="006B0CD8"/>
    <w:rsid w:val="006B690A"/>
    <w:rsid w:val="006D1AB9"/>
    <w:rsid w:val="006D6F30"/>
    <w:rsid w:val="00713BFF"/>
    <w:rsid w:val="00742AA7"/>
    <w:rsid w:val="008359E4"/>
    <w:rsid w:val="00871F79"/>
    <w:rsid w:val="008A5F2A"/>
    <w:rsid w:val="008E24D1"/>
    <w:rsid w:val="008F3A34"/>
    <w:rsid w:val="00936138"/>
    <w:rsid w:val="009A5B32"/>
    <w:rsid w:val="009F11F9"/>
    <w:rsid w:val="009F44F5"/>
    <w:rsid w:val="00A460E9"/>
    <w:rsid w:val="00A95001"/>
    <w:rsid w:val="00AA4FE6"/>
    <w:rsid w:val="00B03E41"/>
    <w:rsid w:val="00B04EFB"/>
    <w:rsid w:val="00B35E9B"/>
    <w:rsid w:val="00B45AD4"/>
    <w:rsid w:val="00BC39BA"/>
    <w:rsid w:val="00BE2D2A"/>
    <w:rsid w:val="00C9794E"/>
    <w:rsid w:val="00CB4388"/>
    <w:rsid w:val="00CD7306"/>
    <w:rsid w:val="00D735C9"/>
    <w:rsid w:val="00EC3375"/>
    <w:rsid w:val="00F226F5"/>
    <w:rsid w:val="00F346E3"/>
    <w:rsid w:val="00F43B99"/>
    <w:rsid w:val="00F7311E"/>
    <w:rsid w:val="00F865B1"/>
    <w:rsid w:val="00F96F89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4F2E48"/>
  <w15:docId w15:val="{92C63954-6950-493F-97E4-E6E434A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2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BF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9794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 65-12</vt:lpstr>
    </vt:vector>
  </TitlesOfParts>
  <Company>Dept. of Health Professions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 65-12</dc:title>
  <dc:subject>Board of Funeral Directors and Embalmers action on Confidential Consent Agreements – adopted March 9, 2004</dc:subject>
  <dc:creator>Cathy.Reiniers-Day</dc:creator>
  <cp:lastModifiedBy>VITA Program</cp:lastModifiedBy>
  <cp:revision>4</cp:revision>
  <cp:lastPrinted>2004-03-16T19:58:00Z</cp:lastPrinted>
  <dcterms:created xsi:type="dcterms:W3CDTF">2016-12-08T21:11:00Z</dcterms:created>
  <dcterms:modified xsi:type="dcterms:W3CDTF">2021-10-13T15:26:00Z</dcterms:modified>
</cp:coreProperties>
</file>