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3A" w:rsidRPr="00463E6C" w:rsidRDefault="00A03A54">
      <w:pPr>
        <w:jc w:val="center"/>
        <w:rPr>
          <w:b/>
          <w:sz w:val="28"/>
        </w:rPr>
      </w:pPr>
      <w:bookmarkStart w:id="0" w:name="_GoBack"/>
      <w:bookmarkEnd w:id="0"/>
      <w:r w:rsidRPr="00463E6C">
        <w:rPr>
          <w:b/>
          <w:sz w:val="28"/>
        </w:rPr>
        <w:t xml:space="preserve">Virginia Board of </w:t>
      </w:r>
      <w:r w:rsidR="00CF347A">
        <w:rPr>
          <w:b/>
          <w:sz w:val="28"/>
        </w:rPr>
        <w:t>Funeral Directors and Embalmers</w:t>
      </w:r>
      <w:r w:rsidR="00BA303A" w:rsidRPr="00463E6C">
        <w:rPr>
          <w:b/>
          <w:sz w:val="28"/>
        </w:rPr>
        <w:t xml:space="preserve"> </w:t>
      </w:r>
    </w:p>
    <w:p w:rsidR="00A03A54" w:rsidRDefault="00A03A54">
      <w:pPr>
        <w:jc w:val="center"/>
        <w:rPr>
          <w:sz w:val="28"/>
        </w:rPr>
      </w:pPr>
    </w:p>
    <w:p w:rsidR="00E55E06" w:rsidRPr="00DF20AE" w:rsidRDefault="00A03A54" w:rsidP="00E55E06">
      <w:pPr>
        <w:pStyle w:val="Heading2"/>
        <w:rPr>
          <w:szCs w:val="28"/>
        </w:rPr>
      </w:pPr>
      <w:r w:rsidRPr="00DF20AE">
        <w:rPr>
          <w:szCs w:val="28"/>
        </w:rPr>
        <w:t>Procedures for Auditing Continu</w:t>
      </w:r>
      <w:r w:rsidR="005F6905" w:rsidRPr="00DF20AE">
        <w:rPr>
          <w:szCs w:val="28"/>
        </w:rPr>
        <w:t>ed Competency Requirements</w:t>
      </w:r>
    </w:p>
    <w:p w:rsidR="00E55E06" w:rsidRDefault="00E55E06" w:rsidP="00E55E06">
      <w:pPr>
        <w:pStyle w:val="Heading2"/>
        <w:rPr>
          <w:sz w:val="24"/>
        </w:rPr>
      </w:pPr>
    </w:p>
    <w:p w:rsidR="00526C52" w:rsidRPr="00E55E06" w:rsidRDefault="00526C52" w:rsidP="00E55E06">
      <w:r w:rsidRPr="00E55E06">
        <w:t xml:space="preserve">The Board of </w:t>
      </w:r>
      <w:r w:rsidR="00CF347A">
        <w:t>Funeral Directors and Embalmers</w:t>
      </w:r>
      <w:r w:rsidRPr="00E55E06">
        <w:t xml:space="preserve"> may audit a random sample of licensees to investigate compliance with the Board’s continuing competency requirements. The Board may also audit </w:t>
      </w:r>
      <w:r w:rsidR="00206086" w:rsidRPr="00E55E06">
        <w:t>a</w:t>
      </w:r>
      <w:r w:rsidRPr="00E55E06">
        <w:t>ctive licensees who</w:t>
      </w:r>
      <w:r w:rsidR="0033161B">
        <w:t>,</w:t>
      </w:r>
      <w:r w:rsidRPr="00E55E06">
        <w:t xml:space="preserve"> by terms of a </w:t>
      </w:r>
      <w:r w:rsidR="00E55E06">
        <w:t>Confidential Consent Agreement (“</w:t>
      </w:r>
      <w:r w:rsidRPr="00E55E06">
        <w:t>CCA</w:t>
      </w:r>
      <w:r w:rsidR="00E55E06">
        <w:t>”)</w:t>
      </w:r>
      <w:r w:rsidRPr="00E55E06">
        <w:t xml:space="preserve"> or </w:t>
      </w:r>
      <w:r w:rsidR="00E55E06">
        <w:t xml:space="preserve">a </w:t>
      </w:r>
      <w:r w:rsidRPr="00E55E06">
        <w:t>P</w:t>
      </w:r>
      <w:r w:rsidR="00E55E06">
        <w:t>re-</w:t>
      </w:r>
      <w:r w:rsidRPr="00E55E06">
        <w:t>H</w:t>
      </w:r>
      <w:r w:rsidR="00E55E06">
        <w:t xml:space="preserve">earing </w:t>
      </w:r>
      <w:r w:rsidRPr="00E55E06">
        <w:t>C</w:t>
      </w:r>
      <w:r w:rsidR="00E55E06">
        <w:t xml:space="preserve">onsent </w:t>
      </w:r>
      <w:r w:rsidRPr="00E55E06">
        <w:t>O</w:t>
      </w:r>
      <w:r w:rsidR="00E55E06">
        <w:t>rder (“PHCO”)</w:t>
      </w:r>
      <w:r w:rsidRPr="00E55E06">
        <w:t xml:space="preserve">, are required to take </w:t>
      </w:r>
      <w:r w:rsidR="00E55E06">
        <w:t xml:space="preserve">continuing education (“CE”) </w:t>
      </w:r>
      <w:r w:rsidRPr="00E55E06">
        <w:t>courses in addition to the continued competency requirements for renewal of a license</w:t>
      </w:r>
      <w:r w:rsidR="00AF638B" w:rsidRPr="00E55E06">
        <w:t>.</w:t>
      </w:r>
    </w:p>
    <w:p w:rsidR="00463E6C" w:rsidRPr="000E0F66" w:rsidRDefault="00463E6C" w:rsidP="000E0F66">
      <w:pPr>
        <w:pStyle w:val="BodyTextIndent"/>
        <w:jc w:val="both"/>
        <w:rPr>
          <w:sz w:val="24"/>
        </w:rPr>
      </w:pPr>
    </w:p>
    <w:p w:rsidR="00A03A54" w:rsidRDefault="00A03A54" w:rsidP="000E0F66">
      <w:pPr>
        <w:pStyle w:val="BodyTextIndent"/>
        <w:numPr>
          <w:ilvl w:val="0"/>
          <w:numId w:val="2"/>
        </w:numPr>
        <w:jc w:val="both"/>
        <w:rPr>
          <w:sz w:val="24"/>
        </w:rPr>
      </w:pPr>
      <w:r w:rsidRPr="000E0F66">
        <w:rPr>
          <w:sz w:val="24"/>
        </w:rPr>
        <w:t xml:space="preserve">Board staff reviews each </w:t>
      </w:r>
      <w:r w:rsidR="009837F4" w:rsidRPr="000E0F66">
        <w:rPr>
          <w:sz w:val="24"/>
        </w:rPr>
        <w:t>audit report and either:</w:t>
      </w:r>
    </w:p>
    <w:p w:rsidR="00DF20AE" w:rsidRPr="000E0F66" w:rsidRDefault="00DF20AE" w:rsidP="00DF20AE">
      <w:pPr>
        <w:pStyle w:val="BodyTextIndent"/>
        <w:jc w:val="both"/>
        <w:rPr>
          <w:sz w:val="24"/>
        </w:rPr>
      </w:pPr>
    </w:p>
    <w:p w:rsidR="009837F4" w:rsidRDefault="00A03A54" w:rsidP="000E0F66">
      <w:pPr>
        <w:pStyle w:val="BodyTextIndent"/>
        <w:numPr>
          <w:ilvl w:val="1"/>
          <w:numId w:val="2"/>
        </w:numPr>
        <w:jc w:val="both"/>
        <w:rPr>
          <w:sz w:val="24"/>
        </w:rPr>
      </w:pPr>
      <w:r w:rsidRPr="000E0F66">
        <w:rPr>
          <w:sz w:val="24"/>
        </w:rPr>
        <w:t>Sends a</w:t>
      </w:r>
      <w:r w:rsidR="009837F4" w:rsidRPr="000E0F66">
        <w:rPr>
          <w:sz w:val="24"/>
        </w:rPr>
        <w:t>n acknowledgement</w:t>
      </w:r>
      <w:r w:rsidRPr="000E0F66">
        <w:rPr>
          <w:sz w:val="24"/>
        </w:rPr>
        <w:t xml:space="preserve"> letter of </w:t>
      </w:r>
      <w:r w:rsidR="009837F4" w:rsidRPr="000E0F66">
        <w:rPr>
          <w:sz w:val="24"/>
        </w:rPr>
        <w:t xml:space="preserve">fulfillment of the continuing </w:t>
      </w:r>
      <w:r w:rsidR="00A47844" w:rsidRPr="000E0F66">
        <w:rPr>
          <w:sz w:val="24"/>
        </w:rPr>
        <w:t>competency requirements, or</w:t>
      </w:r>
      <w:r w:rsidRPr="000E0F66">
        <w:rPr>
          <w:sz w:val="24"/>
        </w:rPr>
        <w:t xml:space="preserve"> </w:t>
      </w:r>
    </w:p>
    <w:p w:rsidR="00A03A54" w:rsidRPr="000E0F66" w:rsidRDefault="00A03A54" w:rsidP="000E0F66">
      <w:pPr>
        <w:pStyle w:val="BodyTextIndent"/>
        <w:numPr>
          <w:ilvl w:val="1"/>
          <w:numId w:val="2"/>
        </w:numPr>
        <w:jc w:val="both"/>
        <w:rPr>
          <w:sz w:val="24"/>
        </w:rPr>
      </w:pPr>
      <w:r w:rsidRPr="000E0F66">
        <w:rPr>
          <w:sz w:val="24"/>
        </w:rPr>
        <w:t>Opens</w:t>
      </w:r>
      <w:r w:rsidR="009837F4" w:rsidRPr="000E0F66">
        <w:rPr>
          <w:sz w:val="24"/>
        </w:rPr>
        <w:t xml:space="preserve"> a case for probable cause</w:t>
      </w:r>
      <w:r w:rsidR="000E0F66">
        <w:rPr>
          <w:sz w:val="24"/>
        </w:rPr>
        <w:t>.</w:t>
      </w:r>
    </w:p>
    <w:p w:rsidR="009837F4" w:rsidRPr="000E0F66" w:rsidRDefault="009837F4" w:rsidP="000E0F66">
      <w:pPr>
        <w:pStyle w:val="BodyTextIndent"/>
        <w:jc w:val="both"/>
        <w:rPr>
          <w:sz w:val="24"/>
        </w:rPr>
      </w:pPr>
    </w:p>
    <w:p w:rsidR="009837F4" w:rsidRDefault="009837F4" w:rsidP="000E0F66">
      <w:pPr>
        <w:pStyle w:val="BodyTextIndent"/>
        <w:numPr>
          <w:ilvl w:val="0"/>
          <w:numId w:val="2"/>
        </w:numPr>
        <w:jc w:val="both"/>
        <w:rPr>
          <w:sz w:val="24"/>
        </w:rPr>
      </w:pPr>
      <w:r w:rsidRPr="000E0F66">
        <w:rPr>
          <w:sz w:val="24"/>
        </w:rPr>
        <w:t xml:space="preserve">Once a </w:t>
      </w:r>
      <w:r w:rsidR="00A94602" w:rsidRPr="000E0F66">
        <w:rPr>
          <w:sz w:val="24"/>
        </w:rPr>
        <w:t>case</w:t>
      </w:r>
      <w:r w:rsidRPr="000E0F66">
        <w:rPr>
          <w:sz w:val="24"/>
        </w:rPr>
        <w:t xml:space="preserve"> is opened for probable cause, </w:t>
      </w:r>
      <w:r w:rsidR="00E55E06">
        <w:rPr>
          <w:sz w:val="24"/>
        </w:rPr>
        <w:t xml:space="preserve">Board </w:t>
      </w:r>
      <w:r w:rsidR="00A94602" w:rsidRPr="000E0F66">
        <w:rPr>
          <w:sz w:val="24"/>
        </w:rPr>
        <w:t xml:space="preserve">staff </w:t>
      </w:r>
      <w:r w:rsidR="00F63A7F" w:rsidRPr="000E0F66">
        <w:rPr>
          <w:sz w:val="24"/>
        </w:rPr>
        <w:t>may</w:t>
      </w:r>
      <w:r w:rsidR="00A94602" w:rsidRPr="000E0F66">
        <w:rPr>
          <w:sz w:val="24"/>
        </w:rPr>
        <w:t>:</w:t>
      </w:r>
    </w:p>
    <w:p w:rsidR="00DF20AE" w:rsidRPr="000E0F66" w:rsidRDefault="00DF20AE" w:rsidP="00DF20AE">
      <w:pPr>
        <w:pStyle w:val="BodyTextIndent"/>
        <w:jc w:val="both"/>
        <w:rPr>
          <w:sz w:val="24"/>
        </w:rPr>
      </w:pPr>
    </w:p>
    <w:p w:rsidR="00E55E06" w:rsidRDefault="0015107B" w:rsidP="00E55E06">
      <w:pPr>
        <w:pStyle w:val="BodyTextIndent"/>
        <w:numPr>
          <w:ilvl w:val="0"/>
          <w:numId w:val="3"/>
        </w:numPr>
        <w:jc w:val="both"/>
        <w:rPr>
          <w:sz w:val="24"/>
        </w:rPr>
      </w:pPr>
      <w:r w:rsidRPr="00E55E06">
        <w:rPr>
          <w:sz w:val="24"/>
        </w:rPr>
        <w:t>Issue a CCA</w:t>
      </w:r>
      <w:r w:rsidR="00E55E06" w:rsidRPr="00E55E06">
        <w:rPr>
          <w:sz w:val="24"/>
        </w:rPr>
        <w:t xml:space="preserve"> if the licensee</w:t>
      </w:r>
      <w:r w:rsidRPr="00E55E06">
        <w:rPr>
          <w:sz w:val="24"/>
        </w:rPr>
        <w:t xml:space="preserve"> was truthful in responding to the renewal attestation</w:t>
      </w:r>
      <w:r w:rsidR="00E55E06" w:rsidRPr="00E55E06">
        <w:rPr>
          <w:sz w:val="24"/>
        </w:rPr>
        <w:t xml:space="preserve"> and the licensee has not previously been found in violation of</w:t>
      </w:r>
      <w:r w:rsidR="00CF347A">
        <w:rPr>
          <w:sz w:val="24"/>
        </w:rPr>
        <w:t xml:space="preserve"> the</w:t>
      </w:r>
      <w:r w:rsidR="00E55E06" w:rsidRPr="00E55E06">
        <w:rPr>
          <w:sz w:val="24"/>
        </w:rPr>
        <w:t xml:space="preserve"> CE</w:t>
      </w:r>
      <w:r w:rsidR="00CF347A">
        <w:rPr>
          <w:sz w:val="24"/>
        </w:rPr>
        <w:t xml:space="preserve"> requirements.</w:t>
      </w:r>
      <w:r w:rsidRPr="00E55E06">
        <w:rPr>
          <w:sz w:val="24"/>
        </w:rPr>
        <w:t xml:space="preserve">  </w:t>
      </w:r>
      <w:r w:rsidR="00E55E06" w:rsidRPr="00E55E06">
        <w:rPr>
          <w:sz w:val="24"/>
        </w:rPr>
        <w:t xml:space="preserve">For those licensees who fail to meet the CE requirements, the CCA may require the licensee to submit proof of completion of the missing contact hours(s) within 90 days of the effective date of the CCA. Such contact hours cannot be used toward fulfillment of the next </w:t>
      </w:r>
      <w:r w:rsidR="00CF347A">
        <w:rPr>
          <w:sz w:val="24"/>
        </w:rPr>
        <w:t>annual</w:t>
      </w:r>
      <w:r w:rsidR="00DF20AE">
        <w:rPr>
          <w:sz w:val="24"/>
        </w:rPr>
        <w:t xml:space="preserve"> CE requirement for renewal; or</w:t>
      </w:r>
    </w:p>
    <w:p w:rsidR="00DF20AE" w:rsidRPr="00E55E06" w:rsidRDefault="00DF20AE" w:rsidP="00DF20AE">
      <w:pPr>
        <w:pStyle w:val="BodyTextIndent"/>
        <w:ind w:left="1440"/>
        <w:jc w:val="both"/>
        <w:rPr>
          <w:sz w:val="24"/>
        </w:rPr>
      </w:pPr>
    </w:p>
    <w:p w:rsidR="00A03A54" w:rsidRDefault="0013392B" w:rsidP="00DF20AE">
      <w:pPr>
        <w:pStyle w:val="BodyTextIndent"/>
        <w:numPr>
          <w:ilvl w:val="0"/>
          <w:numId w:val="3"/>
        </w:numPr>
        <w:jc w:val="both"/>
        <w:rPr>
          <w:sz w:val="24"/>
        </w:rPr>
      </w:pPr>
      <w:r w:rsidRPr="000E0F66">
        <w:rPr>
          <w:sz w:val="24"/>
        </w:rPr>
        <w:t>Issue a PHCO</w:t>
      </w:r>
      <w:r w:rsidR="0015107B">
        <w:rPr>
          <w:sz w:val="24"/>
        </w:rPr>
        <w:t xml:space="preserve"> if the licensee was not truthful in responding to the renewal attestation</w:t>
      </w:r>
      <w:r w:rsidR="00E55E06">
        <w:rPr>
          <w:sz w:val="24"/>
        </w:rPr>
        <w:t xml:space="preserve"> </w:t>
      </w:r>
      <w:r w:rsidR="00A27095">
        <w:rPr>
          <w:sz w:val="24"/>
        </w:rPr>
        <w:t xml:space="preserve">or if </w:t>
      </w:r>
      <w:r w:rsidR="00E55E06">
        <w:rPr>
          <w:sz w:val="24"/>
        </w:rPr>
        <w:t>the licensee has previously been found in violation of CE</w:t>
      </w:r>
      <w:r w:rsidR="00CF347A">
        <w:rPr>
          <w:sz w:val="24"/>
        </w:rPr>
        <w:t xml:space="preserve"> re</w:t>
      </w:r>
      <w:r w:rsidR="00E55E06">
        <w:rPr>
          <w:sz w:val="24"/>
        </w:rPr>
        <w:t xml:space="preserve">quirements.  The </w:t>
      </w:r>
      <w:r w:rsidR="0015107B">
        <w:rPr>
          <w:sz w:val="24"/>
        </w:rPr>
        <w:t xml:space="preserve">following sanctions </w:t>
      </w:r>
      <w:r w:rsidR="00E55E06">
        <w:rPr>
          <w:sz w:val="24"/>
        </w:rPr>
        <w:t xml:space="preserve">may </w:t>
      </w:r>
      <w:r w:rsidR="0015107B">
        <w:rPr>
          <w:sz w:val="24"/>
        </w:rPr>
        <w:t>apply:</w:t>
      </w:r>
    </w:p>
    <w:p w:rsidR="00DF20AE" w:rsidRPr="000E0F66" w:rsidRDefault="00DF20AE" w:rsidP="00DF20AE">
      <w:pPr>
        <w:pStyle w:val="BodyTextIndent"/>
        <w:ind w:left="1440"/>
        <w:jc w:val="both"/>
        <w:rPr>
          <w:sz w:val="24"/>
        </w:rPr>
      </w:pPr>
    </w:p>
    <w:p w:rsidR="00DF20AE" w:rsidRDefault="00E55E06" w:rsidP="00DF20AE">
      <w:pPr>
        <w:pStyle w:val="BodyTextIndent"/>
        <w:ind w:left="1440"/>
        <w:jc w:val="both"/>
        <w:rPr>
          <w:sz w:val="24"/>
        </w:rPr>
      </w:pPr>
      <w:r>
        <w:rPr>
          <w:sz w:val="24"/>
        </w:rPr>
        <w:t>(</w:t>
      </w:r>
      <w:proofErr w:type="spellStart"/>
      <w:r>
        <w:rPr>
          <w:sz w:val="24"/>
        </w:rPr>
        <w:t>i</w:t>
      </w:r>
      <w:proofErr w:type="spellEnd"/>
      <w:r>
        <w:rPr>
          <w:sz w:val="24"/>
        </w:rPr>
        <w:t xml:space="preserve">) </w:t>
      </w:r>
      <w:r w:rsidR="00B07AE3" w:rsidRPr="000E0F66">
        <w:rPr>
          <w:sz w:val="24"/>
        </w:rPr>
        <w:t>Monetary Penalty of</w:t>
      </w:r>
      <w:r w:rsidR="00A03A54" w:rsidRPr="000E0F66">
        <w:rPr>
          <w:sz w:val="24"/>
        </w:rPr>
        <w:t xml:space="preserve"> $100 per missing </w:t>
      </w:r>
      <w:r w:rsidR="00A47844" w:rsidRPr="000E0F66">
        <w:rPr>
          <w:sz w:val="24"/>
        </w:rPr>
        <w:t>contact hour</w:t>
      </w:r>
      <w:r w:rsidR="000E0F66">
        <w:rPr>
          <w:sz w:val="24"/>
        </w:rPr>
        <w:t>;</w:t>
      </w:r>
    </w:p>
    <w:p w:rsidR="009F6ABA" w:rsidRDefault="00E55E06" w:rsidP="009F6ABA">
      <w:pPr>
        <w:pStyle w:val="BodyTextIndent"/>
        <w:ind w:left="1440"/>
        <w:jc w:val="both"/>
        <w:rPr>
          <w:sz w:val="24"/>
        </w:rPr>
      </w:pPr>
      <w:r>
        <w:rPr>
          <w:sz w:val="24"/>
        </w:rPr>
        <w:t xml:space="preserve">(ii) </w:t>
      </w:r>
      <w:r w:rsidR="00B07AE3" w:rsidRPr="000E0F66">
        <w:rPr>
          <w:sz w:val="24"/>
        </w:rPr>
        <w:t>Monetary Penalty of</w:t>
      </w:r>
      <w:r w:rsidR="00A03A54" w:rsidRPr="000E0F66">
        <w:rPr>
          <w:sz w:val="24"/>
        </w:rPr>
        <w:t xml:space="preserve"> $300 for a fr</w:t>
      </w:r>
      <w:r w:rsidR="00AA09C1" w:rsidRPr="000E0F66">
        <w:rPr>
          <w:sz w:val="24"/>
        </w:rPr>
        <w:t>audulent renewal certification</w:t>
      </w:r>
      <w:r w:rsidR="000E0F66">
        <w:rPr>
          <w:sz w:val="24"/>
        </w:rPr>
        <w:t>;</w:t>
      </w:r>
      <w:r w:rsidR="00E7376B" w:rsidRPr="000E0F66">
        <w:rPr>
          <w:sz w:val="24"/>
        </w:rPr>
        <w:t xml:space="preserve"> and</w:t>
      </w:r>
    </w:p>
    <w:p w:rsidR="009F6ABA" w:rsidRDefault="00DF20AE" w:rsidP="009F6ABA">
      <w:pPr>
        <w:pStyle w:val="BodyTextIndent"/>
        <w:ind w:left="1440"/>
        <w:jc w:val="both"/>
        <w:rPr>
          <w:sz w:val="24"/>
        </w:rPr>
      </w:pPr>
      <w:r>
        <w:rPr>
          <w:sz w:val="24"/>
        </w:rPr>
        <w:t xml:space="preserve">(iii) </w:t>
      </w:r>
      <w:r w:rsidR="00CF347A">
        <w:rPr>
          <w:sz w:val="24"/>
        </w:rPr>
        <w:t>S</w:t>
      </w:r>
      <w:r w:rsidR="00A03A54" w:rsidRPr="000E0F66">
        <w:rPr>
          <w:sz w:val="24"/>
        </w:rPr>
        <w:t>ubmission of proof of completion of the missing c</w:t>
      </w:r>
      <w:r w:rsidR="00A47844" w:rsidRPr="000E0F66">
        <w:rPr>
          <w:sz w:val="24"/>
        </w:rPr>
        <w:t>ontact hour(s)</w:t>
      </w:r>
      <w:r w:rsidR="00A03A54" w:rsidRPr="000E0F66">
        <w:rPr>
          <w:sz w:val="24"/>
        </w:rPr>
        <w:t xml:space="preserve"> </w:t>
      </w:r>
      <w:r w:rsidR="0013392B" w:rsidRPr="000E0F66">
        <w:rPr>
          <w:sz w:val="24"/>
        </w:rPr>
        <w:t xml:space="preserve">within 90 days of </w:t>
      </w:r>
      <w:r w:rsidR="00F63A7F" w:rsidRPr="000E0F66">
        <w:rPr>
          <w:sz w:val="24"/>
        </w:rPr>
        <w:t xml:space="preserve">Order </w:t>
      </w:r>
      <w:r w:rsidR="0013392B" w:rsidRPr="000E0F66">
        <w:rPr>
          <w:sz w:val="24"/>
        </w:rPr>
        <w:t>entry</w:t>
      </w:r>
      <w:r w:rsidR="00A03A54" w:rsidRPr="000E0F66">
        <w:rPr>
          <w:sz w:val="24"/>
        </w:rPr>
        <w:t xml:space="preserve">. </w:t>
      </w:r>
      <w:r w:rsidR="00E54CEA" w:rsidRPr="000E0F66">
        <w:rPr>
          <w:sz w:val="24"/>
        </w:rPr>
        <w:t>These</w:t>
      </w:r>
      <w:r w:rsidR="00A03A54" w:rsidRPr="000E0F66">
        <w:rPr>
          <w:sz w:val="24"/>
        </w:rPr>
        <w:t xml:space="preserve"> </w:t>
      </w:r>
      <w:r w:rsidR="00A47844" w:rsidRPr="000E0F66">
        <w:rPr>
          <w:sz w:val="24"/>
        </w:rPr>
        <w:t>contact hours</w:t>
      </w:r>
      <w:r w:rsidR="00E54CEA" w:rsidRPr="000E0F66">
        <w:rPr>
          <w:sz w:val="24"/>
        </w:rPr>
        <w:t xml:space="preserve"> cannot be used toward the next </w:t>
      </w:r>
      <w:r>
        <w:rPr>
          <w:sz w:val="24"/>
        </w:rPr>
        <w:t xml:space="preserve">biennial </w:t>
      </w:r>
      <w:r w:rsidR="00AA09C1" w:rsidRPr="000E0F66">
        <w:rPr>
          <w:sz w:val="24"/>
        </w:rPr>
        <w:t>requirement for renewal</w:t>
      </w:r>
      <w:r w:rsidR="000E0F66">
        <w:rPr>
          <w:sz w:val="24"/>
        </w:rPr>
        <w:t>.</w:t>
      </w:r>
      <w:r w:rsidR="009F6ABA">
        <w:rPr>
          <w:sz w:val="24"/>
        </w:rPr>
        <w:t xml:space="preserve"> </w:t>
      </w:r>
    </w:p>
    <w:p w:rsidR="009F6ABA" w:rsidRDefault="009F6ABA" w:rsidP="009F6ABA">
      <w:pPr>
        <w:pStyle w:val="BodyTextIndent"/>
        <w:ind w:left="1440"/>
        <w:jc w:val="both"/>
        <w:rPr>
          <w:sz w:val="24"/>
        </w:rPr>
      </w:pPr>
    </w:p>
    <w:p w:rsidR="000E0F66" w:rsidRPr="009F6ABA" w:rsidRDefault="009F6ABA" w:rsidP="009F6ABA">
      <w:pPr>
        <w:pStyle w:val="BodyTextIndent"/>
        <w:ind w:left="360"/>
        <w:jc w:val="both"/>
        <w:rPr>
          <w:sz w:val="24"/>
        </w:rPr>
      </w:pPr>
      <w:r>
        <w:rPr>
          <w:sz w:val="24"/>
        </w:rPr>
        <w:t xml:space="preserve">3.   </w:t>
      </w:r>
      <w:r w:rsidRPr="009F6ABA">
        <w:rPr>
          <w:sz w:val="24"/>
        </w:rPr>
        <w:t>T</w:t>
      </w:r>
      <w:r w:rsidR="00DF20AE" w:rsidRPr="009F6ABA">
        <w:rPr>
          <w:sz w:val="24"/>
        </w:rPr>
        <w:t>he case will be referred to an informal fact-finding conference if the licensee:</w:t>
      </w:r>
    </w:p>
    <w:p w:rsidR="00DF20AE" w:rsidRDefault="00DF20AE" w:rsidP="000E0F66">
      <w:pPr>
        <w:pStyle w:val="ListParagraph"/>
      </w:pPr>
    </w:p>
    <w:p w:rsidR="00DF20AE" w:rsidRPr="00DF20AE" w:rsidRDefault="00DF20AE" w:rsidP="00DF20AE">
      <w:pPr>
        <w:pStyle w:val="BodyTextIndent"/>
        <w:ind w:left="1440" w:hanging="360"/>
        <w:jc w:val="both"/>
        <w:rPr>
          <w:sz w:val="24"/>
        </w:rPr>
      </w:pPr>
      <w:r>
        <w:rPr>
          <w:sz w:val="24"/>
        </w:rPr>
        <w:t xml:space="preserve">a. </w:t>
      </w:r>
      <w:r w:rsidRPr="00DF20AE">
        <w:rPr>
          <w:sz w:val="24"/>
        </w:rPr>
        <w:t xml:space="preserve">Fails to respond to the audit or does not wish to sign the CCA or PHCO that is offered; or </w:t>
      </w:r>
    </w:p>
    <w:p w:rsidR="00DF20AE" w:rsidRPr="00DF20AE" w:rsidRDefault="00DF20AE" w:rsidP="00DF20AE">
      <w:pPr>
        <w:pStyle w:val="BodyTextIndent"/>
        <w:ind w:left="1440" w:hanging="360"/>
        <w:jc w:val="both"/>
        <w:rPr>
          <w:sz w:val="24"/>
        </w:rPr>
      </w:pPr>
      <w:r w:rsidRPr="00DF20AE">
        <w:rPr>
          <w:sz w:val="24"/>
        </w:rPr>
        <w:t>b. Has previously been disciplined pursuant to a Board Order for not meeting the CE requirements.</w:t>
      </w:r>
    </w:p>
    <w:p w:rsidR="000E0F66" w:rsidRPr="000E0F66" w:rsidRDefault="00DF20AE" w:rsidP="000E0F66">
      <w:pPr>
        <w:pStyle w:val="BodyTextIndent"/>
        <w:jc w:val="both"/>
        <w:rPr>
          <w:sz w:val="24"/>
        </w:rPr>
      </w:pPr>
      <w:r w:rsidRPr="00DF20AE">
        <w:rPr>
          <w:sz w:val="24"/>
        </w:rPr>
        <w:tab/>
      </w:r>
    </w:p>
    <w:sectPr w:rsidR="000E0F66" w:rsidRPr="000E0F66" w:rsidSect="000E0F66">
      <w:head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CD" w:rsidRDefault="00552BCD" w:rsidP="00C96AB4">
      <w:r>
        <w:separator/>
      </w:r>
    </w:p>
  </w:endnote>
  <w:endnote w:type="continuationSeparator" w:id="0">
    <w:p w:rsidR="00552BCD" w:rsidRDefault="00552BCD" w:rsidP="00C9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CD" w:rsidRDefault="00552BCD" w:rsidP="00C96AB4">
      <w:r>
        <w:separator/>
      </w:r>
    </w:p>
  </w:footnote>
  <w:footnote w:type="continuationSeparator" w:id="0">
    <w:p w:rsidR="00552BCD" w:rsidRDefault="00552BCD" w:rsidP="00C9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7A" w:rsidRDefault="00CF347A" w:rsidP="00463E6C">
    <w:pPr>
      <w:pStyle w:val="Header"/>
      <w:rPr>
        <w:b/>
        <w:sz w:val="22"/>
        <w:szCs w:val="22"/>
      </w:rPr>
    </w:pPr>
    <w:r w:rsidRPr="00DD2503">
      <w:rPr>
        <w:b/>
        <w:sz w:val="22"/>
        <w:szCs w:val="22"/>
      </w:rPr>
      <w:t xml:space="preserve">Guidance Document: </w:t>
    </w:r>
    <w:r>
      <w:rPr>
        <w:b/>
        <w:sz w:val="22"/>
        <w:szCs w:val="22"/>
      </w:rPr>
      <w:t>65-16</w:t>
    </w:r>
    <w:r w:rsidRPr="00DD2503">
      <w:rPr>
        <w:b/>
        <w:sz w:val="22"/>
        <w:szCs w:val="22"/>
      </w:rPr>
      <w:tab/>
    </w:r>
    <w:r w:rsidRPr="00DD2503">
      <w:rPr>
        <w:b/>
        <w:sz w:val="22"/>
        <w:szCs w:val="22"/>
      </w:rPr>
      <w:tab/>
    </w:r>
    <w:r w:rsidR="00DB0EDD">
      <w:rPr>
        <w:b/>
        <w:sz w:val="22"/>
        <w:szCs w:val="22"/>
      </w:rPr>
      <w:t>Reaffirmed: October 12, 2021</w:t>
    </w:r>
  </w:p>
  <w:p w:rsidR="0053031E" w:rsidRDefault="00DB0EDD" w:rsidP="00463E6C">
    <w:pPr>
      <w:pStyle w:val="Header"/>
      <w:rPr>
        <w:b/>
        <w:sz w:val="22"/>
        <w:szCs w:val="22"/>
      </w:rPr>
    </w:pPr>
    <w:r>
      <w:rPr>
        <w:b/>
        <w:sz w:val="22"/>
        <w:szCs w:val="22"/>
      </w:rPr>
      <w:tab/>
    </w:r>
    <w:r>
      <w:rPr>
        <w:b/>
        <w:sz w:val="22"/>
        <w:szCs w:val="22"/>
      </w:rPr>
      <w:tab/>
      <w:t xml:space="preserve">Effective: December </w:t>
    </w:r>
    <w:r w:rsidR="00026C0F">
      <w:rPr>
        <w:b/>
        <w:sz w:val="22"/>
        <w:szCs w:val="22"/>
      </w:rPr>
      <w:t>9</w:t>
    </w:r>
    <w:r>
      <w:rPr>
        <w:b/>
        <w:sz w:val="22"/>
        <w:szCs w:val="22"/>
      </w:rPr>
      <w:t>, 2021</w:t>
    </w:r>
  </w:p>
  <w:p w:rsidR="00DB0EDD" w:rsidRDefault="00DB0EDD" w:rsidP="00463E6C">
    <w:pPr>
      <w:pStyle w:val="Header"/>
      <w:rPr>
        <w:b/>
        <w:sz w:val="22"/>
        <w:szCs w:val="22"/>
      </w:rPr>
    </w:pPr>
  </w:p>
  <w:p w:rsidR="0053031E" w:rsidRPr="00DD2503" w:rsidRDefault="0053031E" w:rsidP="00463E6C">
    <w:pPr>
      <w:pStyle w:val="Header"/>
      <w:rPr>
        <w:b/>
        <w:sz w:val="22"/>
        <w:szCs w:val="22"/>
      </w:rPr>
    </w:pPr>
  </w:p>
  <w:p w:rsidR="00CF347A" w:rsidRPr="00F32179" w:rsidRDefault="00CF347A">
    <w:pPr>
      <w:pStyle w:val="Head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A71FC"/>
    <w:multiLevelType w:val="hybridMultilevel"/>
    <w:tmpl w:val="C76C0EF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5E5B0786"/>
    <w:multiLevelType w:val="hybridMultilevel"/>
    <w:tmpl w:val="50541DAC"/>
    <w:lvl w:ilvl="0" w:tplc="0409000F">
      <w:start w:val="1"/>
      <w:numFmt w:val="decimal"/>
      <w:lvlText w:val="%1."/>
      <w:lvlJc w:val="left"/>
      <w:pPr>
        <w:tabs>
          <w:tab w:val="num" w:pos="720"/>
        </w:tabs>
        <w:ind w:left="720" w:hanging="360"/>
      </w:pPr>
    </w:lvl>
    <w:lvl w:ilvl="1" w:tplc="992CBDEE">
      <w:start w:val="1"/>
      <w:numFmt w:val="lowerLetter"/>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1964DF"/>
    <w:multiLevelType w:val="hybridMultilevel"/>
    <w:tmpl w:val="6FD26DE4"/>
    <w:lvl w:ilvl="0" w:tplc="7FDA379A">
      <w:start w:val="1"/>
      <w:numFmt w:val="lowerLetter"/>
      <w:lvlText w:val="%1."/>
      <w:lvlJc w:val="left"/>
      <w:pPr>
        <w:tabs>
          <w:tab w:val="num" w:pos="1440"/>
        </w:tabs>
        <w:ind w:left="1440" w:hanging="360"/>
      </w:pPr>
      <w:rPr>
        <w:rFonts w:hint="default"/>
      </w:rPr>
    </w:lvl>
    <w:lvl w:ilvl="1" w:tplc="A3C6952C">
      <w:start w:val="1"/>
      <w:numFmt w:val="decimal"/>
      <w:lvlText w:val="%2."/>
      <w:lvlJc w:val="left"/>
      <w:pPr>
        <w:tabs>
          <w:tab w:val="num" w:pos="2160"/>
        </w:tabs>
        <w:ind w:left="2160" w:hanging="360"/>
      </w:pPr>
      <w:rPr>
        <w:rFonts w:hint="default"/>
        <w:strike w:val="0"/>
        <w:dstrike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79"/>
    <w:rsid w:val="00026C0F"/>
    <w:rsid w:val="00077512"/>
    <w:rsid w:val="00090280"/>
    <w:rsid w:val="000B3F28"/>
    <w:rsid w:val="000E0F66"/>
    <w:rsid w:val="001017A1"/>
    <w:rsid w:val="00111364"/>
    <w:rsid w:val="0013392B"/>
    <w:rsid w:val="0015107B"/>
    <w:rsid w:val="0019017C"/>
    <w:rsid w:val="00196C47"/>
    <w:rsid w:val="001F370E"/>
    <w:rsid w:val="00206086"/>
    <w:rsid w:val="00207EF0"/>
    <w:rsid w:val="002134F1"/>
    <w:rsid w:val="002209F6"/>
    <w:rsid w:val="00326F91"/>
    <w:rsid w:val="0033161B"/>
    <w:rsid w:val="00373C02"/>
    <w:rsid w:val="00385384"/>
    <w:rsid w:val="003870E2"/>
    <w:rsid w:val="00425CF2"/>
    <w:rsid w:val="00463E6C"/>
    <w:rsid w:val="004E798F"/>
    <w:rsid w:val="00526C52"/>
    <w:rsid w:val="0053031E"/>
    <w:rsid w:val="00552BCD"/>
    <w:rsid w:val="005637E3"/>
    <w:rsid w:val="00563A54"/>
    <w:rsid w:val="00597E6C"/>
    <w:rsid w:val="005A480C"/>
    <w:rsid w:val="005C3F24"/>
    <w:rsid w:val="005F6905"/>
    <w:rsid w:val="00615184"/>
    <w:rsid w:val="00664DE2"/>
    <w:rsid w:val="00672CA9"/>
    <w:rsid w:val="00712CFF"/>
    <w:rsid w:val="007575FF"/>
    <w:rsid w:val="007719CD"/>
    <w:rsid w:val="007A7BDC"/>
    <w:rsid w:val="007F6A43"/>
    <w:rsid w:val="008124E0"/>
    <w:rsid w:val="00821F1B"/>
    <w:rsid w:val="00861A35"/>
    <w:rsid w:val="0089437D"/>
    <w:rsid w:val="0091762C"/>
    <w:rsid w:val="009837F4"/>
    <w:rsid w:val="009D06A0"/>
    <w:rsid w:val="009F6ABA"/>
    <w:rsid w:val="00A03A54"/>
    <w:rsid w:val="00A1558C"/>
    <w:rsid w:val="00A27095"/>
    <w:rsid w:val="00A34622"/>
    <w:rsid w:val="00A47844"/>
    <w:rsid w:val="00A768C1"/>
    <w:rsid w:val="00A94602"/>
    <w:rsid w:val="00AA09C1"/>
    <w:rsid w:val="00AD32D9"/>
    <w:rsid w:val="00AF638B"/>
    <w:rsid w:val="00B00874"/>
    <w:rsid w:val="00B07AE3"/>
    <w:rsid w:val="00B136A6"/>
    <w:rsid w:val="00B1555E"/>
    <w:rsid w:val="00BA303A"/>
    <w:rsid w:val="00BA54CB"/>
    <w:rsid w:val="00BC5ECB"/>
    <w:rsid w:val="00BD21C6"/>
    <w:rsid w:val="00BF7BFA"/>
    <w:rsid w:val="00C037BC"/>
    <w:rsid w:val="00C230F6"/>
    <w:rsid w:val="00C269D4"/>
    <w:rsid w:val="00C96AB4"/>
    <w:rsid w:val="00CC7B47"/>
    <w:rsid w:val="00CF347A"/>
    <w:rsid w:val="00D00338"/>
    <w:rsid w:val="00D56BCF"/>
    <w:rsid w:val="00D70874"/>
    <w:rsid w:val="00D842A6"/>
    <w:rsid w:val="00DB0EDD"/>
    <w:rsid w:val="00DD2503"/>
    <w:rsid w:val="00DE1101"/>
    <w:rsid w:val="00DF20AE"/>
    <w:rsid w:val="00E54CEA"/>
    <w:rsid w:val="00E55E06"/>
    <w:rsid w:val="00E7376B"/>
    <w:rsid w:val="00EA126D"/>
    <w:rsid w:val="00F216B8"/>
    <w:rsid w:val="00F249C2"/>
    <w:rsid w:val="00F32179"/>
    <w:rsid w:val="00F625C8"/>
    <w:rsid w:val="00F63A7F"/>
    <w:rsid w:val="00FA0140"/>
    <w:rsid w:val="00F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52B5EBC"/>
  <w15:docId w15:val="{0BBBA6C1-A850-4EE7-8B1E-B61E23A8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sz w:val="28"/>
    </w:rPr>
  </w:style>
  <w:style w:type="paragraph" w:styleId="Header">
    <w:name w:val="header"/>
    <w:basedOn w:val="Normal"/>
    <w:rsid w:val="00F32179"/>
    <w:pPr>
      <w:tabs>
        <w:tab w:val="center" w:pos="4320"/>
        <w:tab w:val="right" w:pos="8640"/>
      </w:tabs>
    </w:pPr>
  </w:style>
  <w:style w:type="paragraph" w:styleId="Footer">
    <w:name w:val="footer"/>
    <w:basedOn w:val="Normal"/>
    <w:rsid w:val="00F32179"/>
    <w:pPr>
      <w:tabs>
        <w:tab w:val="center" w:pos="4320"/>
        <w:tab w:val="right" w:pos="8640"/>
      </w:tabs>
    </w:pPr>
  </w:style>
  <w:style w:type="paragraph" w:styleId="BalloonText">
    <w:name w:val="Balloon Text"/>
    <w:basedOn w:val="Normal"/>
    <w:link w:val="BalloonTextChar"/>
    <w:uiPriority w:val="99"/>
    <w:semiHidden/>
    <w:unhideWhenUsed/>
    <w:rsid w:val="00BA303A"/>
    <w:rPr>
      <w:rFonts w:ascii="Tahoma" w:hAnsi="Tahoma" w:cs="Tahoma"/>
      <w:sz w:val="16"/>
      <w:szCs w:val="16"/>
    </w:rPr>
  </w:style>
  <w:style w:type="character" w:customStyle="1" w:styleId="BalloonTextChar">
    <w:name w:val="Balloon Text Char"/>
    <w:link w:val="BalloonText"/>
    <w:uiPriority w:val="99"/>
    <w:semiHidden/>
    <w:rsid w:val="00BA303A"/>
    <w:rPr>
      <w:rFonts w:ascii="Tahoma" w:hAnsi="Tahoma" w:cs="Tahoma"/>
      <w:sz w:val="16"/>
      <w:szCs w:val="16"/>
    </w:rPr>
  </w:style>
  <w:style w:type="paragraph" w:styleId="ListParagraph">
    <w:name w:val="List Paragraph"/>
    <w:basedOn w:val="Normal"/>
    <w:uiPriority w:val="34"/>
    <w:qFormat/>
    <w:rsid w:val="009837F4"/>
    <w:pPr>
      <w:ind w:left="720"/>
    </w:pPr>
  </w:style>
  <w:style w:type="character" w:customStyle="1" w:styleId="BodyTextIndentChar">
    <w:name w:val="Body Text Indent Char"/>
    <w:link w:val="BodyTextIndent"/>
    <w:rsid w:val="00526C52"/>
    <w:rPr>
      <w:sz w:val="28"/>
      <w:szCs w:val="24"/>
    </w:rPr>
  </w:style>
  <w:style w:type="character" w:styleId="CommentReference">
    <w:name w:val="annotation reference"/>
    <w:uiPriority w:val="99"/>
    <w:semiHidden/>
    <w:unhideWhenUsed/>
    <w:rsid w:val="004E798F"/>
    <w:rPr>
      <w:sz w:val="16"/>
      <w:szCs w:val="16"/>
    </w:rPr>
  </w:style>
  <w:style w:type="paragraph" w:styleId="CommentText">
    <w:name w:val="annotation text"/>
    <w:basedOn w:val="Normal"/>
    <w:link w:val="CommentTextChar"/>
    <w:uiPriority w:val="99"/>
    <w:semiHidden/>
    <w:unhideWhenUsed/>
    <w:rsid w:val="004E798F"/>
    <w:rPr>
      <w:sz w:val="20"/>
      <w:szCs w:val="20"/>
    </w:rPr>
  </w:style>
  <w:style w:type="character" w:customStyle="1" w:styleId="CommentTextChar">
    <w:name w:val="Comment Text Char"/>
    <w:basedOn w:val="DefaultParagraphFont"/>
    <w:link w:val="CommentText"/>
    <w:uiPriority w:val="99"/>
    <w:semiHidden/>
    <w:rsid w:val="004E798F"/>
  </w:style>
  <w:style w:type="paragraph" w:styleId="CommentSubject">
    <w:name w:val="annotation subject"/>
    <w:basedOn w:val="CommentText"/>
    <w:next w:val="CommentText"/>
    <w:link w:val="CommentSubjectChar"/>
    <w:uiPriority w:val="99"/>
    <w:semiHidden/>
    <w:unhideWhenUsed/>
    <w:rsid w:val="004E798F"/>
    <w:rPr>
      <w:b/>
      <w:bCs/>
    </w:rPr>
  </w:style>
  <w:style w:type="character" w:customStyle="1" w:styleId="CommentSubjectChar">
    <w:name w:val="Comment Subject Char"/>
    <w:link w:val="CommentSubject"/>
    <w:uiPriority w:val="99"/>
    <w:semiHidden/>
    <w:rsid w:val="004E798F"/>
    <w:rPr>
      <w:b/>
      <w:bCs/>
    </w:rPr>
  </w:style>
  <w:style w:type="paragraph" w:customStyle="1" w:styleId="StyleBodyTextIndent12ptJustified">
    <w:name w:val="Style Body Text Indent + 12 pt Justified"/>
    <w:basedOn w:val="BodyTextIndent"/>
    <w:rsid w:val="00DF20AE"/>
    <w:pPr>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769">
      <w:bodyDiv w:val="1"/>
      <w:marLeft w:val="0"/>
      <w:marRight w:val="0"/>
      <w:marTop w:val="0"/>
      <w:marBottom w:val="0"/>
      <w:divBdr>
        <w:top w:val="none" w:sz="0" w:space="0" w:color="auto"/>
        <w:left w:val="none" w:sz="0" w:space="0" w:color="auto"/>
        <w:bottom w:val="none" w:sz="0" w:space="0" w:color="auto"/>
        <w:right w:val="none" w:sz="0" w:space="0" w:color="auto"/>
      </w:divBdr>
    </w:div>
    <w:div w:id="893082916">
      <w:bodyDiv w:val="1"/>
      <w:marLeft w:val="0"/>
      <w:marRight w:val="0"/>
      <w:marTop w:val="0"/>
      <w:marBottom w:val="0"/>
      <w:divBdr>
        <w:top w:val="none" w:sz="0" w:space="0" w:color="auto"/>
        <w:left w:val="none" w:sz="0" w:space="0" w:color="auto"/>
        <w:bottom w:val="none" w:sz="0" w:space="0" w:color="auto"/>
        <w:right w:val="none" w:sz="0" w:space="0" w:color="auto"/>
      </w:divBdr>
    </w:div>
    <w:div w:id="1104423916">
      <w:bodyDiv w:val="1"/>
      <w:marLeft w:val="0"/>
      <w:marRight w:val="0"/>
      <w:marTop w:val="0"/>
      <w:marBottom w:val="0"/>
      <w:divBdr>
        <w:top w:val="none" w:sz="0" w:space="0" w:color="auto"/>
        <w:left w:val="none" w:sz="0" w:space="0" w:color="auto"/>
        <w:bottom w:val="none" w:sz="0" w:space="0" w:color="auto"/>
        <w:right w:val="none" w:sz="0" w:space="0" w:color="auto"/>
      </w:divBdr>
    </w:div>
    <w:div w:id="12512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34D3-4A6F-43F5-8901-5E69A653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1731</Characters>
  <Application>Microsoft Office Word</Application>
  <DocSecurity>0</DocSecurity>
  <PresentationFormat>11|.DOC</PresentationFormat>
  <Lines>14</Lines>
  <Paragraphs>4</Paragraphs>
  <ScaleCrop>false</ScaleCrop>
  <HeadingPairs>
    <vt:vector size="2" baseType="variant">
      <vt:variant>
        <vt:lpstr>Title</vt:lpstr>
      </vt:variant>
      <vt:variant>
        <vt:i4>1</vt:i4>
      </vt:variant>
    </vt:vector>
  </HeadingPairs>
  <TitlesOfParts>
    <vt:vector size="1" baseType="lpstr">
      <vt:lpstr>Virginia Board of Nursing Home Administrators</vt:lpstr>
    </vt:vector>
  </TitlesOfParts>
  <Company>Data 301</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Nursing Home Administrators</dc:title>
  <dc:creator>sandra.reen</dc:creator>
  <cp:lastModifiedBy>VITA Program</cp:lastModifiedBy>
  <cp:revision>3</cp:revision>
  <cp:lastPrinted>2017-02-09T15:14:00Z</cp:lastPrinted>
  <dcterms:created xsi:type="dcterms:W3CDTF">2021-10-13T15:03:00Z</dcterms:created>
  <dcterms:modified xsi:type="dcterms:W3CDTF">2021-10-13T15:23:00Z</dcterms:modified>
</cp:coreProperties>
</file>